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3.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4.xml" ContentType="application/vnd.openxmlformats-officedocument.customXmlProperties+xml"/>
  <Override PartName="/customXml/itemProps2.xml" ContentType="application/vnd.openxmlformats-officedocument.customXmlProperties+xml"/>
  <Override PartName="/customXml/item3.xml" ContentType="application/xml"/>
  <Override PartName="/customXml/item4.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r>
    </w:p>
    <w:tbl>
      <w:tblPr>
        <w:tblStyle w:val="TableGrid"/>
        <w:tblW w:w="10155" w:type="dxa"/>
        <w:jc w:val="left"/>
        <w:tblInd w:w="41" w:type="dxa"/>
        <w:tblLayout w:type="fixed"/>
        <w:tblCellMar>
          <w:top w:w="0" w:type="dxa"/>
          <w:left w:w="108" w:type="dxa"/>
          <w:bottom w:w="0" w:type="dxa"/>
          <w:right w:w="108" w:type="dxa"/>
        </w:tblCellMar>
        <w:tblLook w:firstRow="1" w:noVBand="1" w:lastRow="0" w:firstColumn="1" w:lastColumn="0" w:noHBand="0" w:val="04a0"/>
      </w:tblPr>
      <w:tblGrid>
        <w:gridCol w:w="6765"/>
        <w:gridCol w:w="554"/>
        <w:gridCol w:w="436"/>
        <w:gridCol w:w="586"/>
        <w:gridCol w:w="568"/>
        <w:gridCol w:w="1245"/>
      </w:tblGrid>
      <w:tr>
        <w:trPr/>
        <w:tc>
          <w:tcPr>
            <w:tcW w:w="10154" w:type="dxa"/>
            <w:gridSpan w:val="6"/>
            <w:tcBorders>
              <w:top w:val="nil"/>
              <w:left w:val="nil"/>
              <w:right w:val="nil"/>
            </w:tcBorders>
          </w:tcPr>
          <w:p>
            <w:pPr>
              <w:pStyle w:val="Normal"/>
              <w:widowControl w:val="false"/>
              <w:suppressAutoHyphens w:val="true"/>
              <w:spacing w:lineRule="auto" w:line="240" w:before="0" w:after="60"/>
              <w:jc w:val="left"/>
              <w:rPr>
                <w:b/>
                <w:bCs/>
                <w:szCs w:val="24"/>
              </w:rPr>
            </w:pPr>
            <w:r>
              <w:rPr>
                <w:b/>
                <w:bCs/>
                <w:kern w:val="0"/>
                <w:szCs w:val="24"/>
              </w:rPr>
              <w:t>STANDARDISED PRICE LIST</w:t>
            </w:r>
          </w:p>
          <w:p>
            <w:pPr>
              <w:pStyle w:val="Normal"/>
              <w:widowControl w:val="false"/>
              <w:suppressAutoHyphens w:val="true"/>
              <w:spacing w:lineRule="auto" w:line="240" w:before="0" w:after="60"/>
              <w:jc w:val="left"/>
              <w:rPr>
                <w:szCs w:val="24"/>
              </w:rPr>
            </w:pPr>
            <w:r>
              <w:rPr>
                <w:kern w:val="0"/>
                <w:szCs w:val="24"/>
              </w:rPr>
              <w:t>All funeral directors are legally required to publish this Price List for a standardised set of products and services. This is to help you think through your options and make choices, and to let you compare prices between different funeral directors (because prices can vary).</w:t>
            </w:r>
          </w:p>
        </w:tc>
      </w:tr>
      <w:tr>
        <w:trPr/>
        <w:tc>
          <w:tcPr>
            <w:tcW w:w="7755" w:type="dxa"/>
            <w:gridSpan w:val="3"/>
            <w:tcBorders>
              <w:bottom w:val="nil"/>
              <w:right w:val="nil"/>
            </w:tcBorders>
          </w:tcPr>
          <w:p>
            <w:pPr>
              <w:pStyle w:val="Normal"/>
              <w:widowControl w:val="false"/>
              <w:suppressAutoHyphens w:val="true"/>
              <w:spacing w:lineRule="auto" w:line="240" w:before="0" w:after="60"/>
              <w:jc w:val="left"/>
              <w:rPr>
                <w:sz w:val="22"/>
              </w:rPr>
            </w:pPr>
            <w:r>
              <w:rPr>
                <w:b/>
                <w:bCs/>
                <w:kern w:val="0"/>
                <w:sz w:val="22"/>
              </w:rPr>
              <w:t>ATTENDED FUNERAL (funeral director’s charges only)</w:t>
            </w:r>
          </w:p>
        </w:tc>
        <w:tc>
          <w:tcPr>
            <w:tcW w:w="2399" w:type="dxa"/>
            <w:gridSpan w:val="3"/>
            <w:tcBorders>
              <w:left w:val="nil"/>
              <w:bottom w:val="nil"/>
            </w:tcBorders>
          </w:tcPr>
          <w:p>
            <w:pPr>
              <w:pStyle w:val="Normal"/>
              <w:widowControl w:val="false"/>
              <w:suppressAutoHyphens w:val="true"/>
              <w:spacing w:lineRule="auto" w:line="240" w:before="0" w:after="0"/>
              <w:jc w:val="right"/>
              <w:rPr>
                <w:rFonts w:ascii="Arial" w:hAnsi="Arial" w:eastAsia="Times New Roman" w:cs="Arial"/>
                <w:b/>
                <w:bCs/>
                <w:kern w:val="0"/>
                <w:sz w:val="22"/>
                <w:szCs w:val="22"/>
                <w:lang w:val="en-GB" w:eastAsia="en-GB" w:bidi="ar-SA"/>
              </w:rPr>
            </w:pPr>
            <w:r>
              <w:rPr>
                <w:rFonts w:eastAsia="Times New Roman" w:cs="Arial"/>
                <w:b/>
                <w:bCs/>
                <w:kern w:val="0"/>
                <w:sz w:val="22"/>
                <w:szCs w:val="22"/>
                <w:lang w:val="en-GB" w:eastAsia="en-GB" w:bidi="ar-SA"/>
              </w:rPr>
              <w:t>£2300</w:t>
            </w:r>
          </w:p>
        </w:tc>
      </w:tr>
      <w:tr>
        <w:trPr>
          <w:trHeight w:val="438" w:hRule="atLeast"/>
        </w:trPr>
        <w:tc>
          <w:tcPr>
            <w:tcW w:w="8909" w:type="dxa"/>
            <w:gridSpan w:val="5"/>
            <w:tcBorders>
              <w:top w:val="nil"/>
              <w:bottom w:val="nil"/>
              <w:right w:val="nil"/>
            </w:tcBorders>
          </w:tcPr>
          <w:p>
            <w:pPr>
              <w:pStyle w:val="Normal"/>
              <w:widowControl w:val="false"/>
              <w:suppressAutoHyphens w:val="true"/>
              <w:spacing w:lineRule="auto" w:line="240" w:before="0" w:after="60"/>
              <w:jc w:val="left"/>
              <w:rPr>
                <w:b/>
                <w:bCs/>
                <w:sz w:val="22"/>
              </w:rPr>
            </w:pPr>
            <w:r>
              <w:rPr>
                <w:kern w:val="0"/>
                <w:sz w:val="22"/>
              </w:rPr>
              <w:t>This is a funeral where family and friends have a ceremony, event or service for the deceased person at the same time as they attend their burial or cremation.</w:t>
            </w:r>
          </w:p>
        </w:tc>
        <w:tc>
          <w:tcPr>
            <w:tcW w:w="1245" w:type="dxa"/>
            <w:tcBorders>
              <w:top w:val="nil"/>
              <w:left w:val="nil"/>
              <w:bottom w:val="nil"/>
            </w:tcBorders>
          </w:tcPr>
          <w:p>
            <w:pPr>
              <w:pStyle w:val="Normal"/>
              <w:widowControl w:val="false"/>
              <w:suppressAutoHyphens w:val="true"/>
              <w:spacing w:lineRule="auto" w:line="240" w:before="0" w:after="0"/>
              <w:jc w:val="right"/>
              <w:rPr>
                <w:sz w:val="22"/>
              </w:rPr>
            </w:pPr>
            <w:r>
              <w:rPr>
                <w:sz w:val="22"/>
              </w:rPr>
            </w:r>
          </w:p>
        </w:tc>
      </w:tr>
      <w:tr>
        <w:trPr/>
        <w:tc>
          <w:tcPr>
            <w:tcW w:w="8909" w:type="dxa"/>
            <w:gridSpan w:val="5"/>
            <w:tcBorders>
              <w:top w:val="nil"/>
              <w:bottom w:val="nil"/>
              <w:right w:val="nil"/>
            </w:tcBorders>
          </w:tcPr>
          <w:p>
            <w:pPr>
              <w:pStyle w:val="Normal"/>
              <w:widowControl w:val="false"/>
              <w:suppressAutoHyphens w:val="true"/>
              <w:spacing w:lineRule="auto" w:line="240" w:before="0" w:after="20"/>
              <w:ind w:left="142" w:hanging="0"/>
              <w:jc w:val="left"/>
              <w:rPr>
                <w:sz w:val="22"/>
              </w:rPr>
            </w:pPr>
            <w:r>
              <w:rPr>
                <w:kern w:val="0"/>
                <w:sz w:val="22"/>
              </w:rPr>
              <w:t>Taking care of all necessary legal and administrative arrangements</w:t>
            </w:r>
          </w:p>
        </w:tc>
        <w:tc>
          <w:tcPr>
            <w:tcW w:w="1245" w:type="dxa"/>
            <w:tcBorders>
              <w:top w:val="nil"/>
              <w:left w:val="nil"/>
              <w:bottom w:val="nil"/>
            </w:tcBorders>
          </w:tcPr>
          <w:p>
            <w:pPr>
              <w:pStyle w:val="Normal"/>
              <w:widowControl w:val="false"/>
              <w:suppressAutoHyphens w:val="true"/>
              <w:spacing w:lineRule="auto" w:line="240" w:before="0" w:after="0"/>
              <w:jc w:val="right"/>
              <w:rPr>
                <w:b/>
                <w:bCs/>
                <w:kern w:val="0"/>
                <w:sz w:val="22"/>
              </w:rPr>
            </w:pPr>
            <w:r>
              <w:rPr>
                <w:b/>
                <w:bCs/>
                <w:kern w:val="0"/>
                <w:sz w:val="22"/>
              </w:rPr>
              <w:t>inclusive</w:t>
            </w:r>
          </w:p>
        </w:tc>
      </w:tr>
      <w:tr>
        <w:trPr/>
        <w:tc>
          <w:tcPr>
            <w:tcW w:w="8909" w:type="dxa"/>
            <w:gridSpan w:val="5"/>
            <w:tcBorders>
              <w:top w:val="nil"/>
              <w:bottom w:val="nil"/>
              <w:right w:val="nil"/>
            </w:tcBorders>
          </w:tcPr>
          <w:p>
            <w:pPr>
              <w:pStyle w:val="Normal"/>
              <w:widowControl w:val="false"/>
              <w:suppressAutoHyphens w:val="true"/>
              <w:spacing w:lineRule="auto" w:line="240" w:before="0" w:after="20"/>
              <w:ind w:left="142" w:hanging="0"/>
              <w:jc w:val="left"/>
              <w:rPr>
                <w:sz w:val="22"/>
              </w:rPr>
            </w:pPr>
            <w:r>
              <w:rPr>
                <w:kern w:val="0"/>
                <w:sz w:val="22"/>
              </w:rPr>
              <w:t>Collecting and transporting the deceased person from the place of death (normally within 15 miles of the funeral director’s premises) into the funeral director’s care</w:t>
            </w:r>
          </w:p>
        </w:tc>
        <w:tc>
          <w:tcPr>
            <w:tcW w:w="1245" w:type="dxa"/>
            <w:tcBorders>
              <w:top w:val="nil"/>
              <w:left w:val="nil"/>
              <w:bottom w:val="nil"/>
            </w:tcBorders>
          </w:tcPr>
          <w:p>
            <w:pPr>
              <w:pStyle w:val="Normal"/>
              <w:widowControl w:val="false"/>
              <w:suppressAutoHyphens w:val="true"/>
              <w:spacing w:lineRule="auto" w:line="240" w:before="0" w:after="0"/>
              <w:jc w:val="right"/>
              <w:rPr>
                <w:b/>
                <w:bCs/>
                <w:kern w:val="0"/>
                <w:sz w:val="22"/>
              </w:rPr>
            </w:pPr>
            <w:r>
              <w:rPr>
                <w:b/>
                <w:bCs/>
                <w:kern w:val="0"/>
                <w:sz w:val="22"/>
              </w:rPr>
              <w:t>inclusive</w:t>
            </w:r>
          </w:p>
        </w:tc>
      </w:tr>
      <w:tr>
        <w:trPr/>
        <w:tc>
          <w:tcPr>
            <w:tcW w:w="8909" w:type="dxa"/>
            <w:gridSpan w:val="5"/>
            <w:tcBorders>
              <w:top w:val="nil"/>
              <w:bottom w:val="nil"/>
              <w:right w:val="nil"/>
            </w:tcBorders>
          </w:tcPr>
          <w:p>
            <w:pPr>
              <w:pStyle w:val="Normal"/>
              <w:widowControl w:val="false"/>
              <w:suppressAutoHyphens w:val="true"/>
              <w:spacing w:lineRule="auto" w:line="240" w:before="0" w:after="20"/>
              <w:ind w:left="142" w:hanging="0"/>
              <w:jc w:val="left"/>
              <w:rPr>
                <w:sz w:val="22"/>
              </w:rPr>
            </w:pPr>
            <w:r>
              <w:rPr>
                <w:kern w:val="0"/>
                <w:sz w:val="22"/>
              </w:rPr>
              <w:t>Care of the deceased person before the funeral in appropriate facilities. The deceased person will be kept at [both] the funeral director’s [branch premises] [and at other] [non-branch premises]</w:t>
            </w:r>
          </w:p>
        </w:tc>
        <w:tc>
          <w:tcPr>
            <w:tcW w:w="1245" w:type="dxa"/>
            <w:tcBorders>
              <w:top w:val="nil"/>
              <w:left w:val="nil"/>
              <w:bottom w:val="nil"/>
            </w:tcBorders>
          </w:tcPr>
          <w:p>
            <w:pPr>
              <w:pStyle w:val="Normal"/>
              <w:widowControl w:val="false"/>
              <w:suppressAutoHyphens w:val="true"/>
              <w:spacing w:lineRule="auto" w:line="240" w:before="0" w:after="0"/>
              <w:jc w:val="right"/>
              <w:rPr>
                <w:b/>
                <w:bCs/>
                <w:kern w:val="0"/>
                <w:sz w:val="22"/>
              </w:rPr>
            </w:pPr>
            <w:r>
              <w:rPr>
                <w:b/>
                <w:bCs/>
                <w:kern w:val="0"/>
                <w:sz w:val="22"/>
              </w:rPr>
              <w:t>inclusive</w:t>
            </w:r>
          </w:p>
        </w:tc>
      </w:tr>
      <w:tr>
        <w:trPr/>
        <w:tc>
          <w:tcPr>
            <w:tcW w:w="8909" w:type="dxa"/>
            <w:gridSpan w:val="5"/>
            <w:tcBorders>
              <w:top w:val="nil"/>
              <w:bottom w:val="nil"/>
              <w:right w:val="nil"/>
            </w:tcBorders>
          </w:tcPr>
          <w:p>
            <w:pPr>
              <w:pStyle w:val="Normal"/>
              <w:widowControl w:val="false"/>
              <w:suppressAutoHyphens w:val="true"/>
              <w:spacing w:lineRule="auto" w:line="240" w:before="0" w:after="20"/>
              <w:ind w:left="142" w:hanging="0"/>
              <w:jc w:val="left"/>
              <w:rPr>
                <w:sz w:val="22"/>
              </w:rPr>
            </w:pPr>
            <w:r>
              <w:rPr>
                <w:kern w:val="0"/>
                <w:sz w:val="22"/>
              </w:rPr>
              <w:t>Providing a suitable coffin – this will be made from [Oak Veneer]</w:t>
            </w:r>
          </w:p>
        </w:tc>
        <w:tc>
          <w:tcPr>
            <w:tcW w:w="1245" w:type="dxa"/>
            <w:tcBorders>
              <w:top w:val="nil"/>
              <w:left w:val="nil"/>
              <w:bottom w:val="nil"/>
            </w:tcBorders>
          </w:tcPr>
          <w:p>
            <w:pPr>
              <w:pStyle w:val="Normal"/>
              <w:widowControl w:val="false"/>
              <w:suppressAutoHyphens w:val="true"/>
              <w:spacing w:lineRule="auto" w:line="240" w:before="0" w:after="0"/>
              <w:jc w:val="right"/>
              <w:rPr>
                <w:b/>
                <w:bCs/>
                <w:kern w:val="0"/>
                <w:sz w:val="22"/>
              </w:rPr>
            </w:pPr>
            <w:r>
              <w:rPr>
                <w:b/>
                <w:bCs/>
                <w:kern w:val="0"/>
                <w:sz w:val="22"/>
              </w:rPr>
              <w:t>inclusive</w:t>
            </w:r>
          </w:p>
        </w:tc>
      </w:tr>
      <w:tr>
        <w:trPr/>
        <w:tc>
          <w:tcPr>
            <w:tcW w:w="8909" w:type="dxa"/>
            <w:gridSpan w:val="5"/>
            <w:tcBorders>
              <w:top w:val="nil"/>
              <w:bottom w:val="nil"/>
              <w:right w:val="nil"/>
            </w:tcBorders>
          </w:tcPr>
          <w:p>
            <w:pPr>
              <w:pStyle w:val="Normal"/>
              <w:widowControl w:val="false"/>
              <w:suppressAutoHyphens w:val="true"/>
              <w:spacing w:lineRule="auto" w:line="240" w:before="0" w:after="20"/>
              <w:ind w:left="142" w:hanging="0"/>
              <w:jc w:val="left"/>
              <w:rPr>
                <w:sz w:val="22"/>
              </w:rPr>
            </w:pPr>
            <w:r>
              <w:rPr>
                <w:kern w:val="0"/>
                <w:sz w:val="22"/>
              </w:rPr>
              <w:t xml:space="preserve">Viewing of the deceased person for family and friends, by appointment with the funeral director </w:t>
            </w:r>
            <w:r>
              <w:rPr>
                <w:kern w:val="0"/>
                <w:sz w:val="18"/>
                <w:szCs w:val="18"/>
              </w:rPr>
              <w:t>(where viewing is requested by the customer)</w:t>
            </w:r>
          </w:p>
        </w:tc>
        <w:tc>
          <w:tcPr>
            <w:tcW w:w="1245" w:type="dxa"/>
            <w:tcBorders>
              <w:top w:val="nil"/>
              <w:left w:val="nil"/>
              <w:bottom w:val="nil"/>
            </w:tcBorders>
          </w:tcPr>
          <w:p>
            <w:pPr>
              <w:pStyle w:val="Normal"/>
              <w:widowControl w:val="false"/>
              <w:suppressAutoHyphens w:val="true"/>
              <w:spacing w:lineRule="auto" w:line="240" w:before="0" w:after="0"/>
              <w:jc w:val="right"/>
              <w:rPr>
                <w:b/>
                <w:bCs/>
                <w:kern w:val="0"/>
                <w:sz w:val="22"/>
              </w:rPr>
            </w:pPr>
            <w:r>
              <w:rPr>
                <w:b/>
                <w:bCs/>
                <w:kern w:val="0"/>
                <w:sz w:val="22"/>
              </w:rPr>
              <w:t>inclusive</w:t>
            </w:r>
          </w:p>
        </w:tc>
      </w:tr>
      <w:tr>
        <w:trPr/>
        <w:tc>
          <w:tcPr>
            <w:tcW w:w="8909" w:type="dxa"/>
            <w:gridSpan w:val="5"/>
            <w:tcBorders>
              <w:top w:val="nil"/>
              <w:right w:val="nil"/>
            </w:tcBorders>
          </w:tcPr>
          <w:p>
            <w:pPr>
              <w:pStyle w:val="Normal"/>
              <w:widowControl w:val="false"/>
              <w:suppressAutoHyphens w:val="true"/>
              <w:spacing w:lineRule="auto" w:line="240" w:before="0" w:after="20"/>
              <w:ind w:left="142" w:hanging="0"/>
              <w:jc w:val="left"/>
              <w:rPr>
                <w:sz w:val="22"/>
              </w:rPr>
            </w:pPr>
            <w:r>
              <w:rPr>
                <w:kern w:val="0"/>
                <w:sz w:val="22"/>
              </w:rPr>
              <w:t>At a date and time you agree with the funeral director, taking the deceased person direct to the agreed cemetery or crematorium (normally within 20 miles of the funeral director’s premises) in a hearse or other appropriate vehicle</w:t>
            </w:r>
          </w:p>
        </w:tc>
        <w:tc>
          <w:tcPr>
            <w:tcW w:w="1245" w:type="dxa"/>
            <w:tcBorders>
              <w:top w:val="nil"/>
              <w:left w:val="nil"/>
            </w:tcBorders>
          </w:tcPr>
          <w:p>
            <w:pPr>
              <w:pStyle w:val="Normal"/>
              <w:widowControl w:val="false"/>
              <w:suppressAutoHyphens w:val="true"/>
              <w:spacing w:lineRule="auto" w:line="240" w:before="0" w:after="0"/>
              <w:jc w:val="right"/>
              <w:rPr>
                <w:rFonts w:ascii="Arial" w:hAnsi="Arial" w:eastAsia="Times New Roman" w:cs="Arial"/>
                <w:b/>
                <w:bCs/>
                <w:kern w:val="0"/>
                <w:sz w:val="22"/>
                <w:szCs w:val="22"/>
                <w:lang w:val="en-GB" w:eastAsia="en-GB" w:bidi="ar-SA"/>
              </w:rPr>
            </w:pPr>
            <w:r>
              <w:rPr>
                <w:rFonts w:eastAsia="Times New Roman" w:cs="Arial"/>
                <w:b/>
                <w:bCs/>
                <w:kern w:val="0"/>
                <w:sz w:val="22"/>
                <w:szCs w:val="22"/>
                <w:lang w:val="en-GB" w:eastAsia="en-GB" w:bidi="ar-SA"/>
              </w:rPr>
              <w:t>inclusive</w:t>
            </w:r>
          </w:p>
        </w:tc>
      </w:tr>
      <w:tr>
        <w:trPr/>
        <w:tc>
          <w:tcPr>
            <w:tcW w:w="10154" w:type="dxa"/>
            <w:gridSpan w:val="6"/>
            <w:tcBorders>
              <w:left w:val="nil"/>
              <w:right w:val="nil"/>
            </w:tcBorders>
          </w:tcPr>
          <w:p>
            <w:pPr>
              <w:pStyle w:val="Normal"/>
              <w:widowControl w:val="false"/>
              <w:suppressAutoHyphens w:val="true"/>
              <w:spacing w:lineRule="exact" w:line="60" w:before="0" w:after="0"/>
              <w:jc w:val="center"/>
              <w:rPr>
                <w:sz w:val="16"/>
                <w:szCs w:val="16"/>
              </w:rPr>
            </w:pPr>
            <w:r>
              <w:rPr>
                <w:sz w:val="16"/>
                <w:szCs w:val="16"/>
              </w:rPr>
            </w:r>
          </w:p>
        </w:tc>
      </w:tr>
      <w:tr>
        <w:trPr/>
        <w:tc>
          <w:tcPr>
            <w:tcW w:w="8909" w:type="dxa"/>
            <w:gridSpan w:val="5"/>
            <w:tcBorders>
              <w:bottom w:val="nil"/>
              <w:right w:val="nil"/>
            </w:tcBorders>
          </w:tcPr>
          <w:p>
            <w:pPr>
              <w:pStyle w:val="Normal"/>
              <w:widowControl w:val="false"/>
              <w:suppressAutoHyphens w:val="true"/>
              <w:spacing w:lineRule="auto" w:line="240" w:before="0" w:after="60"/>
              <w:jc w:val="left"/>
              <w:rPr>
                <w:b/>
                <w:bCs/>
                <w:sz w:val="22"/>
              </w:rPr>
            </w:pPr>
            <w:r>
              <w:rPr>
                <w:b/>
                <w:bCs/>
                <w:kern w:val="0"/>
                <w:sz w:val="22"/>
              </w:rPr>
              <w:t>UNATTENDED FUNERAL</w:t>
            </w:r>
          </w:p>
          <w:p>
            <w:pPr>
              <w:pStyle w:val="Normal"/>
              <w:widowControl w:val="false"/>
              <w:suppressAutoHyphens w:val="true"/>
              <w:spacing w:lineRule="auto" w:line="240" w:before="0" w:after="60"/>
              <w:jc w:val="left"/>
              <w:rPr>
                <w:sz w:val="22"/>
              </w:rPr>
            </w:pPr>
            <w:r>
              <w:rPr>
                <w:kern w:val="0"/>
                <w:sz w:val="22"/>
              </w:rPr>
              <w:t>This is a funeral where family and friends may choose to have a ceremony, event or service for the deceased person, but they do not attend the burial or cremation itself.</w:t>
            </w:r>
          </w:p>
        </w:tc>
        <w:tc>
          <w:tcPr>
            <w:tcW w:w="1245" w:type="dxa"/>
            <w:tcBorders>
              <w:left w:val="nil"/>
              <w:bottom w:val="nil"/>
            </w:tcBorders>
          </w:tcPr>
          <w:p>
            <w:pPr>
              <w:pStyle w:val="Normal"/>
              <w:widowControl w:val="false"/>
              <w:suppressAutoHyphens w:val="true"/>
              <w:spacing w:lineRule="auto" w:line="240" w:before="0" w:after="20"/>
              <w:jc w:val="center"/>
              <w:rPr>
                <w:sz w:val="22"/>
              </w:rPr>
            </w:pPr>
            <w:r>
              <w:rPr>
                <w:sz w:val="22"/>
              </w:rPr>
            </w:r>
          </w:p>
        </w:tc>
      </w:tr>
      <w:tr>
        <w:trPr/>
        <w:tc>
          <w:tcPr>
            <w:tcW w:w="7755" w:type="dxa"/>
            <w:gridSpan w:val="3"/>
            <w:tcBorders>
              <w:top w:val="nil"/>
              <w:bottom w:val="nil"/>
              <w:right w:val="nil"/>
            </w:tcBorders>
          </w:tcPr>
          <w:p>
            <w:pPr>
              <w:pStyle w:val="Normal"/>
              <w:widowControl w:val="false"/>
              <w:suppressAutoHyphens w:val="true"/>
              <w:spacing w:lineRule="auto" w:line="240" w:before="0" w:after="20"/>
              <w:jc w:val="left"/>
              <w:rPr>
                <w:b/>
                <w:bCs/>
                <w:sz w:val="22"/>
              </w:rPr>
            </w:pPr>
            <w:r>
              <w:rPr>
                <w:b/>
                <w:bCs/>
                <w:kern w:val="0"/>
                <w:sz w:val="22"/>
              </w:rPr>
              <w:t>Burial (funeral director’s charges only)</w:t>
            </w:r>
          </w:p>
        </w:tc>
        <w:tc>
          <w:tcPr>
            <w:tcW w:w="2399" w:type="dxa"/>
            <w:gridSpan w:val="3"/>
            <w:tcBorders>
              <w:top w:val="nil"/>
              <w:left w:val="nil"/>
              <w:bottom w:val="nil"/>
            </w:tcBorders>
          </w:tcPr>
          <w:p>
            <w:pPr>
              <w:pStyle w:val="Normal"/>
              <w:widowControl w:val="false"/>
              <w:suppressAutoHyphens w:val="true"/>
              <w:spacing w:lineRule="auto" w:line="240" w:before="0" w:after="20"/>
              <w:jc w:val="right"/>
              <w:rPr>
                <w:b/>
                <w:bCs/>
                <w:sz w:val="22"/>
              </w:rPr>
            </w:pPr>
            <w:r>
              <w:rPr>
                <w:b/>
                <w:bCs/>
                <w:kern w:val="0"/>
                <w:sz w:val="22"/>
              </w:rPr>
              <w:t>[Not offered]</w:t>
            </w:r>
          </w:p>
        </w:tc>
      </w:tr>
      <w:tr>
        <w:trPr/>
        <w:tc>
          <w:tcPr>
            <w:tcW w:w="7755" w:type="dxa"/>
            <w:gridSpan w:val="3"/>
            <w:tcBorders>
              <w:top w:val="nil"/>
              <w:right w:val="nil"/>
            </w:tcBorders>
          </w:tcPr>
          <w:p>
            <w:pPr>
              <w:pStyle w:val="Normal"/>
              <w:widowControl w:val="false"/>
              <w:suppressAutoHyphens w:val="true"/>
              <w:spacing w:lineRule="auto" w:line="240" w:before="0" w:after="20"/>
              <w:jc w:val="left"/>
              <w:rPr>
                <w:b/>
                <w:bCs/>
                <w:sz w:val="22"/>
              </w:rPr>
            </w:pPr>
            <w:r>
              <w:rPr>
                <w:b/>
                <w:bCs/>
                <w:kern w:val="0"/>
                <w:sz w:val="22"/>
              </w:rPr>
              <w:t>Cremation (funeral director’s charges plus the cremation fee)</w:t>
            </w:r>
            <w:r>
              <w:rPr>
                <w:kern w:val="0"/>
                <w:sz w:val="22"/>
                <w:vertAlign w:val="superscript"/>
              </w:rPr>
              <w:t xml:space="preserve"> 2</w:t>
            </w:r>
          </w:p>
        </w:tc>
        <w:tc>
          <w:tcPr>
            <w:tcW w:w="2399" w:type="dxa"/>
            <w:gridSpan w:val="3"/>
            <w:tcBorders>
              <w:top w:val="nil"/>
              <w:left w:val="nil"/>
            </w:tcBorders>
          </w:tcPr>
          <w:p>
            <w:pPr>
              <w:pStyle w:val="Normal"/>
              <w:widowControl w:val="false"/>
              <w:suppressAutoHyphens w:val="true"/>
              <w:spacing w:lineRule="auto" w:line="240" w:before="0" w:after="20"/>
              <w:jc w:val="right"/>
              <w:rPr>
                <w:b/>
                <w:bCs/>
                <w:sz w:val="22"/>
              </w:rPr>
            </w:pPr>
            <w:r>
              <w:rPr>
                <w:b/>
                <w:bCs/>
                <w:kern w:val="0"/>
                <w:sz w:val="22"/>
              </w:rPr>
              <w:t xml:space="preserve">All inclusive price  £1850 </w:t>
            </w:r>
          </w:p>
        </w:tc>
      </w:tr>
      <w:tr>
        <w:trPr/>
        <w:tc>
          <w:tcPr>
            <w:tcW w:w="10154" w:type="dxa"/>
            <w:gridSpan w:val="6"/>
            <w:tcBorders>
              <w:left w:val="nil"/>
              <w:bottom w:val="nil"/>
              <w:right w:val="nil"/>
            </w:tcBorders>
          </w:tcPr>
          <w:p>
            <w:pPr>
              <w:pStyle w:val="Normal"/>
              <w:widowControl w:val="false"/>
              <w:suppressAutoHyphens w:val="true"/>
              <w:spacing w:lineRule="exact" w:line="60" w:before="0" w:after="0"/>
              <w:jc w:val="center"/>
              <w:rPr>
                <w:sz w:val="18"/>
                <w:szCs w:val="18"/>
              </w:rPr>
            </w:pPr>
            <w:r>
              <w:rPr>
                <w:sz w:val="18"/>
                <w:szCs w:val="18"/>
              </w:rPr>
            </w:r>
          </w:p>
        </w:tc>
      </w:tr>
      <w:tr>
        <w:trPr/>
        <w:tc>
          <w:tcPr>
            <w:tcW w:w="8909" w:type="dxa"/>
            <w:gridSpan w:val="5"/>
            <w:tcBorders>
              <w:bottom w:val="nil"/>
              <w:right w:val="nil"/>
            </w:tcBorders>
          </w:tcPr>
          <w:p>
            <w:pPr>
              <w:pStyle w:val="Normal"/>
              <w:widowControl w:val="false"/>
              <w:suppressAutoHyphens w:val="true"/>
              <w:spacing w:lineRule="auto" w:line="240" w:before="0" w:after="60"/>
              <w:jc w:val="left"/>
              <w:rPr>
                <w:sz w:val="22"/>
              </w:rPr>
            </w:pPr>
            <w:r>
              <w:rPr>
                <w:b/>
                <w:bCs/>
                <w:kern w:val="0"/>
                <w:sz w:val="22"/>
              </w:rPr>
              <w:t>FEES YOU MUST PAY</w:t>
            </w:r>
          </w:p>
        </w:tc>
        <w:tc>
          <w:tcPr>
            <w:tcW w:w="1245" w:type="dxa"/>
            <w:tcBorders>
              <w:left w:val="nil"/>
              <w:bottom w:val="nil"/>
            </w:tcBorders>
          </w:tcPr>
          <w:p>
            <w:pPr>
              <w:pStyle w:val="Normal"/>
              <w:widowControl w:val="false"/>
              <w:suppressAutoHyphens w:val="true"/>
              <w:spacing w:lineRule="auto" w:line="240" w:before="0" w:after="0"/>
              <w:jc w:val="center"/>
              <w:rPr>
                <w:sz w:val="22"/>
              </w:rPr>
            </w:pPr>
            <w:r>
              <w:rPr>
                <w:sz w:val="22"/>
              </w:rPr>
            </w:r>
          </w:p>
        </w:tc>
      </w:tr>
      <w:tr>
        <w:trPr/>
        <w:tc>
          <w:tcPr>
            <w:tcW w:w="8341" w:type="dxa"/>
            <w:gridSpan w:val="4"/>
            <w:tcBorders>
              <w:top w:val="nil"/>
              <w:bottom w:val="nil"/>
              <w:right w:val="nil"/>
            </w:tcBorders>
          </w:tcPr>
          <w:p>
            <w:pPr>
              <w:pStyle w:val="Normal"/>
              <w:widowControl w:val="false"/>
              <w:suppressAutoHyphens w:val="true"/>
              <w:spacing w:lineRule="auto" w:line="240" w:before="0" w:after="20"/>
              <w:jc w:val="left"/>
              <w:rPr>
                <w:sz w:val="22"/>
              </w:rPr>
            </w:pPr>
            <w:r>
              <w:rPr>
                <w:kern w:val="0"/>
                <w:sz w:val="22"/>
              </w:rPr>
              <w:t xml:space="preserve">For an Attended or Unattended burial funeral, the </w:t>
            </w:r>
            <w:r>
              <w:rPr>
                <w:b/>
                <w:bCs/>
                <w:kern w:val="0"/>
                <w:sz w:val="22"/>
              </w:rPr>
              <w:t>burial fee</w:t>
            </w:r>
            <w:r>
              <w:rPr>
                <w:kern w:val="0"/>
                <w:sz w:val="22"/>
              </w:rPr>
              <w:t>.</w:t>
            </w:r>
            <w:r>
              <w:rPr>
                <w:rStyle w:val="FootnoteAnchor"/>
                <w:rFonts w:eastAsia="ＭＳ Ｐ明朝" w:eastAsiaTheme="minorEastAsia"/>
                <w:kern w:val="0"/>
                <w:sz w:val="22"/>
              </w:rPr>
              <w:footnoteReference w:id="2"/>
            </w:r>
            <w:r>
              <w:rPr>
                <w:kern w:val="0"/>
                <w:sz w:val="22"/>
              </w:rPr>
              <w:br/>
              <w:t>In this local area, the typical cost of the burial fee for local residents is:</w:t>
            </w:r>
          </w:p>
          <w:p>
            <w:pPr>
              <w:pStyle w:val="Normal"/>
              <w:widowControl w:val="false"/>
              <w:suppressAutoHyphens w:val="true"/>
              <w:spacing w:lineRule="auto" w:line="240" w:before="0" w:after="60"/>
              <w:jc w:val="left"/>
              <w:rPr>
                <w:sz w:val="22"/>
              </w:rPr>
            </w:pPr>
            <w:r>
              <w:rPr>
                <w:kern w:val="0"/>
                <w:sz w:val="18"/>
                <w:szCs w:val="18"/>
              </w:rPr>
              <w:t>For a new grave, you will also need to pay for the plot; for an existing grave with a memorial in place, you may need to pay a removal/replacement fee. In addition, the cemetery may charge a number of other fees.</w:t>
            </w:r>
          </w:p>
        </w:tc>
        <w:tc>
          <w:tcPr>
            <w:tcW w:w="1813" w:type="dxa"/>
            <w:gridSpan w:val="2"/>
            <w:tcBorders>
              <w:top w:val="nil"/>
              <w:left w:val="nil"/>
              <w:bottom w:val="nil"/>
            </w:tcBorders>
          </w:tcPr>
          <w:p>
            <w:pPr>
              <w:pStyle w:val="Normal"/>
              <w:widowControl w:val="false"/>
              <w:suppressAutoHyphens w:val="true"/>
              <w:spacing w:lineRule="auto" w:line="240" w:before="0" w:after="0"/>
              <w:jc w:val="right"/>
              <w:rPr>
                <w:b/>
                <w:bCs/>
                <w:sz w:val="22"/>
              </w:rPr>
            </w:pPr>
            <w:r>
              <w:rPr>
                <w:b/>
                <w:bCs/>
                <w:kern w:val="0"/>
                <w:sz w:val="22"/>
              </w:rPr>
              <w:t>Internment fee £1220</w:t>
            </w:r>
          </w:p>
          <w:p>
            <w:pPr>
              <w:pStyle w:val="Normal"/>
              <w:widowControl w:val="false"/>
              <w:suppressAutoHyphens w:val="true"/>
              <w:spacing w:lineRule="auto" w:line="240" w:before="0" w:after="0"/>
              <w:jc w:val="right"/>
              <w:rPr>
                <w:b/>
                <w:bCs/>
                <w:sz w:val="22"/>
              </w:rPr>
            </w:pPr>
            <w:r>
              <w:rPr>
                <w:b/>
                <w:bCs/>
                <w:kern w:val="0"/>
                <w:sz w:val="22"/>
              </w:rPr>
              <w:t xml:space="preserve">Plot fee </w:t>
            </w:r>
          </w:p>
          <w:p>
            <w:pPr>
              <w:pStyle w:val="Normal"/>
              <w:widowControl w:val="false"/>
              <w:suppressAutoHyphens w:val="true"/>
              <w:spacing w:lineRule="auto" w:line="240" w:before="0" w:after="0"/>
              <w:jc w:val="right"/>
              <w:rPr>
                <w:b/>
                <w:bCs/>
                <w:sz w:val="22"/>
              </w:rPr>
            </w:pPr>
            <w:r>
              <w:rPr>
                <w:b/>
                <w:bCs/>
                <w:kern w:val="0"/>
                <w:sz w:val="22"/>
              </w:rPr>
              <w:t>£17</w:t>
            </w:r>
            <w:r>
              <w:rPr>
                <w:b/>
                <w:bCs/>
                <w:kern w:val="0"/>
                <w:sz w:val="22"/>
              </w:rPr>
              <w:t>91</w:t>
            </w:r>
          </w:p>
        </w:tc>
      </w:tr>
      <w:tr>
        <w:trPr/>
        <w:tc>
          <w:tcPr>
            <w:tcW w:w="8341" w:type="dxa"/>
            <w:gridSpan w:val="4"/>
            <w:tcBorders>
              <w:top w:val="nil"/>
              <w:right w:val="nil"/>
            </w:tcBorders>
          </w:tcPr>
          <w:p>
            <w:pPr>
              <w:pStyle w:val="Normal"/>
              <w:widowControl w:val="false"/>
              <w:suppressAutoHyphens w:val="true"/>
              <w:spacing w:lineRule="auto" w:line="240" w:before="0" w:after="60"/>
              <w:jc w:val="left"/>
              <w:rPr>
                <w:sz w:val="22"/>
              </w:rPr>
            </w:pPr>
            <w:r>
              <w:rPr>
                <w:kern w:val="0"/>
                <w:sz w:val="22"/>
              </w:rPr>
              <w:t xml:space="preserve">For an Attended cremation funeral, the </w:t>
            </w:r>
            <w:r>
              <w:rPr>
                <w:b/>
                <w:bCs/>
                <w:kern w:val="0"/>
                <w:sz w:val="22"/>
              </w:rPr>
              <w:t>cremation fee</w:t>
            </w:r>
            <w:r>
              <w:rPr>
                <w:kern w:val="0"/>
                <w:sz w:val="22"/>
              </w:rPr>
              <w:t>.</w:t>
            </w:r>
            <w:r>
              <w:rPr>
                <w:rStyle w:val="FootnoteAnchor"/>
                <w:rFonts w:eastAsia="ＭＳ Ｐ明朝" w:eastAsiaTheme="minorEastAsia"/>
                <w:kern w:val="0"/>
                <w:sz w:val="22"/>
              </w:rPr>
              <w:footnoteReference w:id="3"/>
            </w:r>
            <w:r>
              <w:rPr>
                <w:kern w:val="0"/>
                <w:sz w:val="22"/>
              </w:rPr>
              <w:br/>
              <w:t>In this local area, the typical cost of a cremation for local residents is:</w:t>
            </w:r>
          </w:p>
        </w:tc>
        <w:tc>
          <w:tcPr>
            <w:tcW w:w="1813" w:type="dxa"/>
            <w:gridSpan w:val="2"/>
            <w:tcBorders>
              <w:top w:val="nil"/>
              <w:left w:val="nil"/>
            </w:tcBorders>
          </w:tcPr>
          <w:p>
            <w:pPr>
              <w:pStyle w:val="Normal"/>
              <w:widowControl w:val="false"/>
              <w:suppressAutoHyphens w:val="true"/>
              <w:spacing w:lineRule="auto" w:line="240" w:before="0" w:after="0"/>
              <w:jc w:val="right"/>
              <w:rPr>
                <w:b/>
                <w:bCs/>
                <w:sz w:val="22"/>
              </w:rPr>
            </w:pPr>
            <w:r>
              <w:rPr>
                <w:b/>
                <w:bCs/>
                <w:kern w:val="0"/>
                <w:sz w:val="22"/>
              </w:rPr>
              <w:t>£995</w:t>
            </w:r>
          </w:p>
          <w:p>
            <w:pPr>
              <w:pStyle w:val="Normal"/>
              <w:widowControl w:val="false"/>
              <w:suppressAutoHyphens w:val="true"/>
              <w:spacing w:lineRule="auto" w:line="240" w:before="0" w:after="0"/>
              <w:jc w:val="right"/>
              <w:rPr>
                <w:b/>
                <w:bCs/>
                <w:sz w:val="22"/>
              </w:rPr>
            </w:pPr>
            <w:r>
              <w:rPr>
                <w:b/>
                <w:bCs/>
                <w:sz w:val="22"/>
              </w:rPr>
            </w:r>
          </w:p>
        </w:tc>
      </w:tr>
      <w:tr>
        <w:trPr/>
        <w:tc>
          <w:tcPr>
            <w:tcW w:w="10154" w:type="dxa"/>
            <w:gridSpan w:val="6"/>
            <w:tcBorders>
              <w:left w:val="nil"/>
              <w:right w:val="nil"/>
            </w:tcBorders>
          </w:tcPr>
          <w:p>
            <w:pPr>
              <w:pStyle w:val="Normal"/>
              <w:widowControl w:val="false"/>
              <w:suppressAutoHyphens w:val="true"/>
              <w:spacing w:lineRule="exact" w:line="60" w:before="0" w:after="0"/>
              <w:jc w:val="center"/>
              <w:rPr>
                <w:sz w:val="16"/>
                <w:szCs w:val="16"/>
              </w:rPr>
            </w:pPr>
            <w:r>
              <w:rPr>
                <w:sz w:val="16"/>
                <w:szCs w:val="16"/>
              </w:rPr>
            </w:r>
          </w:p>
        </w:tc>
      </w:tr>
      <w:tr>
        <w:trPr/>
        <w:tc>
          <w:tcPr>
            <w:tcW w:w="10154" w:type="dxa"/>
            <w:gridSpan w:val="6"/>
            <w:tcBorders/>
          </w:tcPr>
          <w:p>
            <w:pPr>
              <w:pStyle w:val="Normal"/>
              <w:widowControl w:val="false"/>
              <w:suppressAutoHyphens w:val="true"/>
              <w:spacing w:lineRule="auto" w:line="240" w:before="0" w:after="20"/>
              <w:jc w:val="left"/>
              <w:rPr>
                <w:sz w:val="22"/>
              </w:rPr>
            </w:pPr>
            <w:r>
              <w:rPr>
                <w:kern w:val="0"/>
                <w:sz w:val="22"/>
              </w:rPr>
              <w:t xml:space="preserve">Please discuss any </w:t>
            </w:r>
            <w:r>
              <w:rPr>
                <w:b/>
                <w:bCs/>
                <w:kern w:val="0"/>
                <w:sz w:val="22"/>
              </w:rPr>
              <w:t>specific religious, belief/or cultural requirements</w:t>
            </w:r>
            <w:r>
              <w:rPr>
                <w:kern w:val="0"/>
                <w:sz w:val="22"/>
              </w:rPr>
              <w:t xml:space="preserve"> with the funeral director.</w:t>
            </w:r>
          </w:p>
        </w:tc>
      </w:tr>
      <w:tr>
        <w:trPr/>
        <w:tc>
          <w:tcPr>
            <w:tcW w:w="10154" w:type="dxa"/>
            <w:gridSpan w:val="6"/>
            <w:tcBorders>
              <w:left w:val="nil"/>
              <w:right w:val="nil"/>
            </w:tcBorders>
          </w:tcPr>
          <w:p>
            <w:pPr>
              <w:pStyle w:val="Normal"/>
              <w:widowControl w:val="false"/>
              <w:suppressAutoHyphens w:val="true"/>
              <w:spacing w:lineRule="exact" w:line="60" w:before="0" w:after="0"/>
              <w:jc w:val="center"/>
              <w:rPr>
                <w:sz w:val="16"/>
                <w:szCs w:val="16"/>
              </w:rPr>
            </w:pPr>
            <w:r>
              <w:rPr>
                <w:sz w:val="16"/>
                <w:szCs w:val="16"/>
              </w:rPr>
            </w:r>
          </w:p>
        </w:tc>
      </w:tr>
      <w:tr>
        <w:trPr/>
        <w:tc>
          <w:tcPr>
            <w:tcW w:w="10154" w:type="dxa"/>
            <w:gridSpan w:val="6"/>
            <w:tcBorders>
              <w:bottom w:val="nil"/>
            </w:tcBorders>
          </w:tcPr>
          <w:p>
            <w:pPr>
              <w:pStyle w:val="Normal"/>
              <w:widowControl w:val="false"/>
              <w:suppressAutoHyphens w:val="true"/>
              <w:spacing w:lineRule="auto" w:line="240" w:before="0" w:after="60"/>
              <w:jc w:val="left"/>
              <w:rPr>
                <w:b/>
                <w:bCs/>
                <w:sz w:val="22"/>
              </w:rPr>
            </w:pPr>
            <w:r>
              <w:rPr>
                <w:b/>
                <w:bCs/>
                <w:kern w:val="0"/>
                <w:sz w:val="22"/>
              </w:rPr>
              <w:t>ADDITIONAL FUNERAL DIRECTOR PRODUCTS AND SERVICES</w:t>
            </w:r>
          </w:p>
          <w:p>
            <w:pPr>
              <w:pStyle w:val="Normal"/>
              <w:widowControl w:val="false"/>
              <w:suppressAutoHyphens w:val="true"/>
              <w:spacing w:lineRule="auto" w:line="240" w:before="0" w:after="60"/>
              <w:jc w:val="left"/>
              <w:rPr>
                <w:sz w:val="22"/>
              </w:rPr>
            </w:pPr>
            <w:r>
              <w:rPr>
                <w:kern w:val="0"/>
                <w:sz w:val="22"/>
              </w:rPr>
              <w:t>This funeral director may be able to supply a range of optional, additional products and services, or to arrange (on your behalf) for a third party to supply them. Examples include:</w:t>
            </w:r>
          </w:p>
        </w:tc>
      </w:tr>
      <w:tr>
        <w:trPr/>
        <w:tc>
          <w:tcPr>
            <w:tcW w:w="7319" w:type="dxa"/>
            <w:gridSpan w:val="2"/>
            <w:tcBorders>
              <w:top w:val="nil"/>
              <w:bottom w:val="nil"/>
              <w:right w:val="nil"/>
            </w:tcBorders>
          </w:tcPr>
          <w:p>
            <w:pPr>
              <w:pStyle w:val="Normal"/>
              <w:widowControl w:val="false"/>
              <w:suppressAutoHyphens w:val="true"/>
              <w:spacing w:lineRule="auto" w:line="240" w:before="0" w:after="0"/>
              <w:ind w:left="142" w:hanging="0"/>
              <w:jc w:val="both"/>
              <w:rPr>
                <w:sz w:val="22"/>
              </w:rPr>
            </w:pPr>
            <w:r>
              <w:rPr>
                <w:kern w:val="0"/>
                <w:sz w:val="22"/>
              </w:rPr>
              <w:t xml:space="preserve">Additional mileage </w:t>
            </w:r>
            <w:r>
              <w:rPr>
                <w:kern w:val="0"/>
                <w:sz w:val="18"/>
                <w:szCs w:val="18"/>
              </w:rPr>
              <w:t>(price per mile)</w:t>
            </w:r>
          </w:p>
        </w:tc>
        <w:tc>
          <w:tcPr>
            <w:tcW w:w="2835" w:type="dxa"/>
            <w:gridSpan w:val="4"/>
            <w:tcBorders>
              <w:top w:val="nil"/>
              <w:left w:val="nil"/>
              <w:bottom w:val="nil"/>
            </w:tcBorders>
            <w:vAlign w:val="center"/>
          </w:tcPr>
          <w:p>
            <w:pPr>
              <w:pStyle w:val="Normal"/>
              <w:widowControl w:val="false"/>
              <w:suppressAutoHyphens w:val="true"/>
              <w:spacing w:lineRule="auto" w:line="240" w:before="0" w:after="0"/>
              <w:jc w:val="right"/>
              <w:rPr>
                <w:b/>
                <w:bCs/>
                <w:kern w:val="0"/>
                <w:sz w:val="22"/>
              </w:rPr>
            </w:pPr>
            <w:r>
              <w:rPr>
                <w:b/>
                <w:bCs/>
                <w:kern w:val="0"/>
                <w:sz w:val="22"/>
              </w:rPr>
              <w:t>£2 per mile outside Milton Keynes</w:t>
            </w:r>
          </w:p>
        </w:tc>
      </w:tr>
      <w:tr>
        <w:trPr/>
        <w:tc>
          <w:tcPr>
            <w:tcW w:w="7319" w:type="dxa"/>
            <w:gridSpan w:val="2"/>
            <w:tcBorders>
              <w:top w:val="nil"/>
              <w:bottom w:val="nil"/>
              <w:right w:val="nil"/>
            </w:tcBorders>
          </w:tcPr>
          <w:p>
            <w:pPr>
              <w:pStyle w:val="Normal"/>
              <w:widowControl w:val="false"/>
              <w:suppressAutoHyphens w:val="true"/>
              <w:spacing w:lineRule="auto" w:line="240" w:before="0" w:after="0"/>
              <w:ind w:left="142" w:hanging="0"/>
              <w:jc w:val="left"/>
              <w:rPr>
                <w:sz w:val="22"/>
              </w:rPr>
            </w:pPr>
            <w:r>
              <w:rPr>
                <w:kern w:val="0"/>
                <w:sz w:val="22"/>
              </w:rPr>
              <w:t xml:space="preserve">Additional transfers of the deceased person’s body (e.g. to their home, to a place of worship etc.) </w:t>
            </w:r>
            <w:r>
              <w:rPr>
                <w:kern w:val="0"/>
                <w:sz w:val="18"/>
                <w:szCs w:val="18"/>
              </w:rPr>
              <w:t>(price per transfer)</w:t>
            </w:r>
          </w:p>
        </w:tc>
        <w:tc>
          <w:tcPr>
            <w:tcW w:w="2835" w:type="dxa"/>
            <w:gridSpan w:val="4"/>
            <w:tcBorders>
              <w:top w:val="nil"/>
              <w:left w:val="nil"/>
              <w:bottom w:val="nil"/>
            </w:tcBorders>
          </w:tcPr>
          <w:p>
            <w:pPr>
              <w:pStyle w:val="Normal"/>
              <w:widowControl w:val="false"/>
              <w:suppressAutoHyphens w:val="true"/>
              <w:spacing w:lineRule="auto" w:line="240" w:before="0" w:after="0"/>
              <w:jc w:val="right"/>
              <w:rPr>
                <w:b/>
                <w:bCs/>
                <w:kern w:val="0"/>
                <w:sz w:val="22"/>
              </w:rPr>
            </w:pPr>
            <w:r>
              <w:rPr>
                <w:b/>
                <w:bCs/>
                <w:kern w:val="0"/>
                <w:sz w:val="22"/>
              </w:rPr>
              <w:t xml:space="preserve">Inclusive inside the  MK area </w:t>
            </w:r>
          </w:p>
        </w:tc>
      </w:tr>
      <w:tr>
        <w:trPr/>
        <w:tc>
          <w:tcPr>
            <w:tcW w:w="7319" w:type="dxa"/>
            <w:gridSpan w:val="2"/>
            <w:tcBorders>
              <w:top w:val="nil"/>
              <w:bottom w:val="nil"/>
              <w:right w:val="nil"/>
            </w:tcBorders>
          </w:tcPr>
          <w:p>
            <w:pPr>
              <w:pStyle w:val="Normal"/>
              <w:widowControl w:val="false"/>
              <w:suppressAutoHyphens w:val="true"/>
              <w:spacing w:lineRule="auto" w:line="240" w:before="0" w:after="0"/>
              <w:ind w:left="142" w:hanging="0"/>
              <w:jc w:val="both"/>
              <w:rPr>
                <w:sz w:val="22"/>
              </w:rPr>
            </w:pPr>
            <w:r>
              <w:rPr>
                <w:kern w:val="0"/>
                <w:sz w:val="22"/>
              </w:rPr>
              <w:t>Collection and delivery of ashes</w:t>
            </w:r>
          </w:p>
        </w:tc>
        <w:tc>
          <w:tcPr>
            <w:tcW w:w="2835" w:type="dxa"/>
            <w:gridSpan w:val="4"/>
            <w:tcBorders>
              <w:top w:val="nil"/>
              <w:left w:val="nil"/>
              <w:bottom w:val="nil"/>
            </w:tcBorders>
          </w:tcPr>
          <w:p>
            <w:pPr>
              <w:pStyle w:val="Normal"/>
              <w:widowControl w:val="false"/>
              <w:suppressAutoHyphens w:val="true"/>
              <w:spacing w:lineRule="auto" w:line="240" w:before="0" w:after="0"/>
              <w:jc w:val="right"/>
              <w:rPr>
                <w:b/>
                <w:bCs/>
                <w:kern w:val="0"/>
                <w:sz w:val="22"/>
              </w:rPr>
            </w:pPr>
            <w:r>
              <w:rPr>
                <w:b/>
                <w:bCs/>
                <w:kern w:val="0"/>
                <w:sz w:val="22"/>
              </w:rPr>
              <w:t>[Prices on request]</w:t>
            </w:r>
          </w:p>
        </w:tc>
      </w:tr>
      <w:tr>
        <w:trPr/>
        <w:tc>
          <w:tcPr>
            <w:tcW w:w="7319" w:type="dxa"/>
            <w:gridSpan w:val="2"/>
            <w:tcBorders>
              <w:top w:val="nil"/>
              <w:bottom w:val="nil"/>
              <w:right w:val="nil"/>
            </w:tcBorders>
          </w:tcPr>
          <w:p>
            <w:pPr>
              <w:pStyle w:val="Normal"/>
              <w:widowControl w:val="false"/>
              <w:suppressAutoHyphens w:val="true"/>
              <w:spacing w:lineRule="auto" w:line="240" w:before="0" w:after="0"/>
              <w:ind w:left="142" w:hanging="0"/>
              <w:jc w:val="both"/>
              <w:rPr>
                <w:sz w:val="22"/>
              </w:rPr>
            </w:pPr>
            <w:r>
              <w:rPr>
                <w:kern w:val="0"/>
                <w:sz w:val="22"/>
              </w:rPr>
              <w:t>Embalming</w:t>
            </w:r>
          </w:p>
        </w:tc>
        <w:tc>
          <w:tcPr>
            <w:tcW w:w="2835" w:type="dxa"/>
            <w:gridSpan w:val="4"/>
            <w:tcBorders>
              <w:top w:val="nil"/>
              <w:left w:val="nil"/>
              <w:bottom w:val="nil"/>
            </w:tcBorders>
          </w:tcPr>
          <w:p>
            <w:pPr>
              <w:pStyle w:val="Normal"/>
              <w:widowControl w:val="false"/>
              <w:suppressAutoHyphens w:val="true"/>
              <w:spacing w:lineRule="auto" w:line="240" w:before="0" w:after="0"/>
              <w:jc w:val="right"/>
              <w:rPr>
                <w:b/>
                <w:bCs/>
                <w:kern w:val="0"/>
                <w:sz w:val="22"/>
              </w:rPr>
            </w:pPr>
            <w:r>
              <w:rPr>
                <w:b/>
                <w:bCs/>
                <w:kern w:val="0"/>
                <w:sz w:val="22"/>
              </w:rPr>
              <w:t>Inclusive</w:t>
            </w:r>
          </w:p>
        </w:tc>
      </w:tr>
      <w:tr>
        <w:trPr/>
        <w:tc>
          <w:tcPr>
            <w:tcW w:w="6765" w:type="dxa"/>
            <w:tcBorders>
              <w:top w:val="nil"/>
              <w:bottom w:val="nil"/>
              <w:right w:val="nil"/>
            </w:tcBorders>
          </w:tcPr>
          <w:p>
            <w:pPr>
              <w:pStyle w:val="Normal"/>
              <w:widowControl w:val="false"/>
              <w:suppressAutoHyphens w:val="true"/>
              <w:spacing w:lineRule="auto" w:line="240" w:before="0" w:after="0"/>
              <w:ind w:left="142" w:hanging="0"/>
              <w:jc w:val="both"/>
              <w:rPr>
                <w:sz w:val="22"/>
              </w:rPr>
            </w:pPr>
            <w:r>
              <w:rPr>
                <w:kern w:val="0"/>
                <w:sz w:val="22"/>
              </w:rPr>
              <w:t>Funeral officiant (e.g. celebrant, minister of religion etc.)</w:t>
            </w:r>
          </w:p>
        </w:tc>
        <w:tc>
          <w:tcPr>
            <w:tcW w:w="3389" w:type="dxa"/>
            <w:gridSpan w:val="5"/>
            <w:tcBorders>
              <w:top w:val="nil"/>
              <w:left w:val="nil"/>
              <w:bottom w:val="nil"/>
            </w:tcBorders>
          </w:tcPr>
          <w:p>
            <w:pPr>
              <w:pStyle w:val="Normal"/>
              <w:widowControl w:val="false"/>
              <w:suppressAutoHyphens w:val="true"/>
              <w:spacing w:lineRule="auto" w:line="240" w:before="0" w:after="0"/>
              <w:jc w:val="right"/>
              <w:rPr>
                <w:b/>
                <w:bCs/>
                <w:kern w:val="0"/>
                <w:sz w:val="22"/>
              </w:rPr>
            </w:pPr>
            <w:r>
              <w:rPr>
                <w:b/>
                <w:bCs/>
                <w:kern w:val="0"/>
                <w:sz w:val="22"/>
              </w:rPr>
              <w:t>£290</w:t>
            </w:r>
          </w:p>
        </w:tc>
      </w:tr>
      <w:tr>
        <w:trPr/>
        <w:tc>
          <w:tcPr>
            <w:tcW w:w="6765" w:type="dxa"/>
            <w:tcBorders>
              <w:top w:val="nil"/>
              <w:bottom w:val="nil"/>
              <w:right w:val="nil"/>
            </w:tcBorders>
          </w:tcPr>
          <w:p>
            <w:pPr>
              <w:pStyle w:val="Normal"/>
              <w:widowControl w:val="false"/>
              <w:suppressAutoHyphens w:val="true"/>
              <w:spacing w:lineRule="auto" w:line="240" w:before="0" w:after="60"/>
              <w:ind w:left="142" w:hanging="0"/>
              <w:jc w:val="both"/>
              <w:rPr>
                <w:sz w:val="22"/>
              </w:rPr>
            </w:pPr>
            <w:r>
              <w:rPr>
                <w:kern w:val="0"/>
                <w:sz w:val="22"/>
              </w:rPr>
              <w:t>Services supplied outside of normal office hours</w:t>
            </w:r>
          </w:p>
        </w:tc>
        <w:tc>
          <w:tcPr>
            <w:tcW w:w="3389" w:type="dxa"/>
            <w:gridSpan w:val="5"/>
            <w:tcBorders>
              <w:top w:val="nil"/>
              <w:left w:val="nil"/>
              <w:bottom w:val="nil"/>
            </w:tcBorders>
          </w:tcPr>
          <w:p>
            <w:pPr>
              <w:pStyle w:val="Normal"/>
              <w:widowControl w:val="false"/>
              <w:suppressAutoHyphens w:val="true"/>
              <w:spacing w:lineRule="auto" w:line="240" w:before="0" w:after="0"/>
              <w:jc w:val="right"/>
              <w:rPr>
                <w:sz w:val="22"/>
              </w:rPr>
            </w:pPr>
            <w:r>
              <w:rPr>
                <w:b/>
                <w:bCs/>
                <w:kern w:val="0"/>
                <w:sz w:val="22"/>
              </w:rPr>
              <w:t>[Prices on request]</w:t>
            </w:r>
            <w:r>
              <w:rPr>
                <w:kern w:val="0"/>
                <w:sz w:val="22"/>
              </w:rPr>
              <w:t xml:space="preserve"> </w:t>
            </w:r>
          </w:p>
        </w:tc>
      </w:tr>
      <w:tr>
        <w:trPr/>
        <w:tc>
          <w:tcPr>
            <w:tcW w:w="10154" w:type="dxa"/>
            <w:gridSpan w:val="6"/>
            <w:tcBorders>
              <w:top w:val="nil"/>
            </w:tcBorders>
          </w:tcPr>
          <w:p>
            <w:pPr>
              <w:pStyle w:val="Normal"/>
              <w:widowControl w:val="false"/>
              <w:suppressAutoHyphens w:val="true"/>
              <w:spacing w:lineRule="auto" w:line="240" w:before="0" w:after="60"/>
              <w:jc w:val="left"/>
              <w:rPr>
                <w:sz w:val="22"/>
              </w:rPr>
            </w:pPr>
            <w:r>
              <w:rPr>
                <w:kern w:val="0"/>
                <w:sz w:val="22"/>
              </w:rPr>
              <w:t>The funeral director can give you a full list of what they can supply. They are likely to charge for these additional products and services, so you may choose to take care of some arrangements without their involvement, or you can use a different supplier.</w:t>
            </w:r>
          </w:p>
        </w:tc>
      </w:tr>
    </w:tbl>
    <w:p>
      <w:pPr>
        <w:pStyle w:val="Normal"/>
        <w:spacing w:lineRule="exact" w:line="20" w:before="0" w:after="0"/>
        <w:rPr>
          <w:sz w:val="16"/>
          <w:szCs w:val="16"/>
        </w:rPr>
      </w:pPr>
      <w:r>
        <w:rPr/>
      </w:r>
    </w:p>
    <w:sectPr>
      <w:footnotePr>
        <w:numFmt w:val="decimal"/>
      </w:footnotePr>
      <w:type w:val="nextPage"/>
      <w:pgSz w:w="11906" w:h="16838"/>
      <w:pgMar w:left="964" w:right="964" w:gutter="0" w:header="0" w:top="1021" w:footer="0" w:bottom="102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Tahoma">
    <w:charset w:val="00"/>
    <w:family w:val="roman"/>
    <w:pitch w:val="variable"/>
  </w:font>
  <w:font w:name="Courier New">
    <w:charset w:val="00"/>
    <w:family w:val="roman"/>
    <w:pitch w:val="variable"/>
  </w:font>
  <w:font w:name="Liberation Sans">
    <w:altName w:val="Arial"/>
    <w:charset w:val="00"/>
    <w:family w:val="roman"/>
    <w:pitch w:val="variable"/>
  </w:font>
  <w:font w:name="OpenSymbol">
    <w:altName w:val="Arial Unicode MS"/>
    <w:charset w:val="01"/>
    <w:family w:val="auto"/>
    <w:pitch w:val="variable"/>
  </w:font>
  <w:font w:name="Courier New">
    <w:charset w:val="01"/>
    <w:family w:val="modern"/>
    <w:pitch w:val="fixed"/>
  </w:font>
  <w:font w:name="Wingdings">
    <w:charset w:val="02"/>
    <w:family w:val="auto"/>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p>
  </w:footnote>
  <w:footnote w:id="1" w:type="continuationSeparator">
    <w:p>
      <w:pPr>
        <w:rPr>
          <w:sz w:val="12"/>
        </w:rPr>
      </w:pPr>
      <w:r/>
    </w:p>
  </w:footnote>
  <w:footnote w:id="2">
    <w:p>
      <w:pPr>
        <w:pStyle w:val="Footnote"/>
        <w:widowControl w:val="false"/>
        <w:rPr>
          <w:szCs w:val="18"/>
        </w:rPr>
      </w:pPr>
      <w:r>
        <w:rPr>
          <w:rStyle w:val="FootnoteCharacters"/>
        </w:rPr>
        <w:footnoteRef/>
      </w:r>
      <w:r>
        <w:rPr>
          <w:szCs w:val="18"/>
        </w:rPr>
        <w:t xml:space="preserve"> </w:t>
      </w:r>
      <w:r>
        <w:rPr>
          <w:szCs w:val="18"/>
        </w:rPr>
        <w:t>This fee (which is sometimes called the interment fee) is the charge made for digging and closing a new grave, or for reopening and closing an existing grave.</w:t>
      </w:r>
    </w:p>
  </w:footnote>
  <w:footnote w:id="3">
    <w:p>
      <w:pPr>
        <w:pStyle w:val="Footnote"/>
        <w:widowControl w:val="false"/>
        <w:rPr>
          <w:szCs w:val="18"/>
        </w:rPr>
      </w:pPr>
      <w:r>
        <w:rPr>
          <w:rStyle w:val="FootnoteCharacters"/>
        </w:rPr>
        <w:footnoteRef/>
      </w:r>
      <w:r>
        <w:rPr>
          <w:szCs w:val="18"/>
        </w:rPr>
        <w:t xml:space="preserve"> </w:t>
      </w:r>
      <w:r>
        <w:rPr>
          <w:szCs w:val="18"/>
        </w:rPr>
        <w:t>In England, Wales and Northern Ireland, you will usually need to pay doctors’ fees as well. This is the charge for two doctors to sign the Medical Certificates for Cremation.</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5"/>
      <w:numFmt w:val="bullet"/>
      <w:lvlText w:val="l"/>
      <w:lvlJc w:val="left"/>
      <w:pPr>
        <w:tabs>
          <w:tab w:val="num" w:pos="0"/>
        </w:tabs>
        <w:ind w:left="1080" w:hanging="360"/>
      </w:pPr>
      <w:rPr>
        <w:rFonts w:ascii="OpenSymbol" w:hAnsi="OpenSymbol" w:cs="OpenSymbol" w:hint="default"/>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l"/>
      <w:lvlJc w:val="left"/>
      <w:pPr>
        <w:tabs>
          <w:tab w:val="num" w:pos="0"/>
        </w:tabs>
        <w:ind w:left="1080" w:hanging="360"/>
      </w:pPr>
      <w:rPr>
        <w:rFonts w:ascii="OpenSymbol" w:hAnsi="OpenSymbol" w:cs="OpenSymbol" w:hint="default"/>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rPr/>
    </w:lvl>
    <w:lvl w:ilvl="1">
      <w:start w:val="1"/>
      <w:numFmt w:val="decimal"/>
      <w:lvlText w:val="%1%2"/>
      <w:lvlJc w:val="left"/>
      <w:pPr>
        <w:tabs>
          <w:tab w:val="num" w:pos="720"/>
        </w:tabs>
        <w:ind w:left="720" w:hanging="720"/>
      </w:pPr>
      <w:rPr>
        <w:i w:val="false"/>
        <w:b w:val="false"/>
        <w:color w:val="FFFFFF"/>
      </w:rPr>
    </w:lvl>
    <w:lvl w:ilvl="2">
      <w:start w:val="1"/>
      <w:numFmt w:val="none"/>
      <w:suff w:val="nothing"/>
      <w:lvlText w:val=""/>
      <w:lvlJc w:val="left"/>
      <w:pPr>
        <w:tabs>
          <w:tab w:val="num" w:pos="0"/>
        </w:tabs>
        <w:ind w:left="0" w:hanging="0"/>
      </w:pPr>
      <w:rPr/>
    </w:lvl>
    <w:lvl w:ilvl="3">
      <w:start w:val="1"/>
      <w:numFmt w:val="decimal"/>
      <w:lvlText w:val="%1A%2.%3%4"/>
      <w:lvlJc w:val="left"/>
      <w:pPr>
        <w:tabs>
          <w:tab w:val="num" w:pos="0"/>
        </w:tabs>
        <w:ind w:left="851" w:hanging="851"/>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rPr>
    </w:lvl>
    <w:lvl w:ilvl="4">
      <w:start w:val="1"/>
      <w:numFmt w:val="decimal"/>
      <w:lvlText w:val="%1%2.%3%4.%5"/>
      <w:lvlJc w:val="left"/>
      <w:pPr>
        <w:tabs>
          <w:tab w:val="num" w:pos="1656"/>
        </w:tabs>
        <w:ind w:left="1656" w:hanging="805"/>
      </w:pPr>
      <w:rPr/>
    </w:lvl>
    <w:lvl w:ilvl="5">
      <w:start w:val="1"/>
      <w:numFmt w:val="lowerLetter"/>
      <w:lvlText w:val="%1%6)"/>
      <w:lvlJc w:val="left"/>
      <w:pPr>
        <w:tabs>
          <w:tab w:val="num" w:pos="1080"/>
        </w:tabs>
        <w:ind w:left="1080" w:hanging="360"/>
      </w:pPr>
      <w:rPr/>
    </w:lvl>
    <w:lvl w:ilvl="6">
      <w:start w:val="1"/>
      <w:numFmt w:val="lowerRoman"/>
      <w:lvlText w:val="%1%7)"/>
      <w:lvlJc w:val="left"/>
      <w:pPr>
        <w:tabs>
          <w:tab w:val="num" w:pos="1080"/>
        </w:tabs>
        <w:ind w:left="1080" w:hanging="36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4">
    <w:lvl w:ilvl="0">
      <w:start w:val="1"/>
      <w:numFmt w:val="decimal"/>
      <w:lvlText w:val="%1."/>
      <w:lvlJc w:val="left"/>
      <w:pPr>
        <w:tabs>
          <w:tab w:val="num" w:pos="0"/>
        </w:tabs>
        <w:ind w:left="717" w:hanging="360"/>
      </w:pPr>
      <w:rPr/>
    </w:lvl>
    <w:lvl w:ilvl="1">
      <w:start w:val="1"/>
      <w:numFmt w:val="lowerLetter"/>
      <w:lvlText w:val="%2."/>
      <w:lvlJc w:val="left"/>
      <w:pPr>
        <w:tabs>
          <w:tab w:val="num" w:pos="0"/>
        </w:tabs>
        <w:ind w:left="1437" w:hanging="360"/>
      </w:pPr>
      <w:rPr/>
    </w:lvl>
    <w:lvl w:ilvl="2">
      <w:start w:val="1"/>
      <w:numFmt w:val="lowerRoman"/>
      <w:lvlText w:val="%3."/>
      <w:lvlJc w:val="right"/>
      <w:pPr>
        <w:tabs>
          <w:tab w:val="num" w:pos="0"/>
        </w:tabs>
        <w:ind w:left="2157" w:hanging="180"/>
      </w:pPr>
      <w:rPr/>
    </w:lvl>
    <w:lvl w:ilvl="3">
      <w:start w:val="1"/>
      <w:numFmt w:val="decimal"/>
      <w:lvlText w:val="%4."/>
      <w:lvlJc w:val="left"/>
      <w:pPr>
        <w:tabs>
          <w:tab w:val="num" w:pos="0"/>
        </w:tabs>
        <w:ind w:left="2877" w:hanging="360"/>
      </w:pPr>
      <w:rPr/>
    </w:lvl>
    <w:lvl w:ilvl="4">
      <w:start w:val="1"/>
      <w:numFmt w:val="lowerLetter"/>
      <w:lvlText w:val="%5."/>
      <w:lvlJc w:val="left"/>
      <w:pPr>
        <w:tabs>
          <w:tab w:val="num" w:pos="0"/>
        </w:tabs>
        <w:ind w:left="3597" w:hanging="360"/>
      </w:pPr>
      <w:rPr/>
    </w:lvl>
    <w:lvl w:ilvl="5">
      <w:start w:val="1"/>
      <w:numFmt w:val="lowerRoman"/>
      <w:lvlText w:val="%6."/>
      <w:lvlJc w:val="right"/>
      <w:pPr>
        <w:tabs>
          <w:tab w:val="num" w:pos="0"/>
        </w:tabs>
        <w:ind w:left="4317" w:hanging="180"/>
      </w:pPr>
      <w:rPr/>
    </w:lvl>
    <w:lvl w:ilvl="6">
      <w:start w:val="1"/>
      <w:numFmt w:val="decimal"/>
      <w:lvlText w:val="%7."/>
      <w:lvlJc w:val="left"/>
      <w:pPr>
        <w:tabs>
          <w:tab w:val="num" w:pos="0"/>
        </w:tabs>
        <w:ind w:left="5037" w:hanging="360"/>
      </w:pPr>
      <w:rPr/>
    </w:lvl>
    <w:lvl w:ilvl="7">
      <w:start w:val="1"/>
      <w:numFmt w:val="lowerLetter"/>
      <w:lvlText w:val="%8."/>
      <w:lvlJc w:val="left"/>
      <w:pPr>
        <w:tabs>
          <w:tab w:val="num" w:pos="0"/>
        </w:tabs>
        <w:ind w:left="5757" w:hanging="360"/>
      </w:pPr>
      <w:rPr/>
    </w:lvl>
    <w:lvl w:ilvl="8">
      <w:start w:val="1"/>
      <w:numFmt w:val="lowerRoman"/>
      <w:lvlText w:val="%9."/>
      <w:lvlJc w:val="right"/>
      <w:pPr>
        <w:tabs>
          <w:tab w:val="num" w:pos="0"/>
        </w:tabs>
        <w:ind w:left="6477"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bullet"/>
      <w:lvlText w:val=""/>
      <w:lvlJc w:val="left"/>
      <w:pPr>
        <w:tabs>
          <w:tab w:val="num" w:pos="1152"/>
        </w:tabs>
        <w:ind w:left="1152" w:hanging="432"/>
      </w:pPr>
      <w:rPr>
        <w:rFonts w:ascii="Symbol" w:hAnsi="Symbol" w:cs="Symbol" w:hint="default"/>
      </w:rPr>
    </w:lvl>
    <w:lvl w:ilvl="1">
      <w:start w:val="1"/>
      <w:numFmt w:val="bullet"/>
      <w:lvlText w:val="—"/>
      <w:lvlJc w:val="left"/>
      <w:pPr>
        <w:tabs>
          <w:tab w:val="num" w:pos="1584"/>
        </w:tabs>
        <w:ind w:left="1584" w:hanging="432"/>
      </w:pPr>
      <w:rPr>
        <w:rFonts w:ascii="Courier New" w:hAnsi="Courier New" w:cs="Courier New" w:hint="default"/>
      </w:rPr>
    </w:lvl>
    <w:lvl w:ilvl="2">
      <w:start w:val="1"/>
      <w:numFmt w:val="bullet"/>
      <w:lvlText w:val=""/>
      <w:lvlJc w:val="left"/>
      <w:pPr>
        <w:tabs>
          <w:tab w:val="num" w:pos="0"/>
        </w:tabs>
        <w:ind w:left="1837" w:hanging="360"/>
      </w:pPr>
      <w:rPr>
        <w:rFonts w:ascii="Wingdings" w:hAnsi="Wingdings" w:cs="Wingdings" w:hint="default"/>
      </w:rPr>
    </w:lvl>
    <w:lvl w:ilvl="3">
      <w:start w:val="1"/>
      <w:numFmt w:val="bullet"/>
      <w:lvlText w:val=""/>
      <w:lvlJc w:val="left"/>
      <w:pPr>
        <w:tabs>
          <w:tab w:val="num" w:pos="0"/>
        </w:tabs>
        <w:ind w:left="2557" w:hanging="360"/>
      </w:pPr>
      <w:rPr>
        <w:rFonts w:ascii="Symbol" w:hAnsi="Symbol" w:cs="Symbol" w:hint="default"/>
      </w:rPr>
    </w:lvl>
    <w:lvl w:ilvl="4">
      <w:start w:val="1"/>
      <w:numFmt w:val="bullet"/>
      <w:lvlText w:val="o"/>
      <w:lvlJc w:val="left"/>
      <w:pPr>
        <w:tabs>
          <w:tab w:val="num" w:pos="0"/>
        </w:tabs>
        <w:ind w:left="3277" w:hanging="360"/>
      </w:pPr>
      <w:rPr>
        <w:rFonts w:ascii="Courier New" w:hAnsi="Courier New" w:cs="Courier New" w:hint="default"/>
      </w:rPr>
    </w:lvl>
    <w:lvl w:ilvl="5">
      <w:start w:val="1"/>
      <w:numFmt w:val="bullet"/>
      <w:lvlText w:val=""/>
      <w:lvlJc w:val="left"/>
      <w:pPr>
        <w:tabs>
          <w:tab w:val="num" w:pos="0"/>
        </w:tabs>
        <w:ind w:left="3997" w:hanging="360"/>
      </w:pPr>
      <w:rPr>
        <w:rFonts w:ascii="Wingdings" w:hAnsi="Wingdings" w:cs="Wingdings" w:hint="default"/>
      </w:rPr>
    </w:lvl>
    <w:lvl w:ilvl="6">
      <w:start w:val="1"/>
      <w:numFmt w:val="bullet"/>
      <w:lvlText w:val=""/>
      <w:lvlJc w:val="left"/>
      <w:pPr>
        <w:tabs>
          <w:tab w:val="num" w:pos="0"/>
        </w:tabs>
        <w:ind w:left="4717" w:hanging="360"/>
      </w:pPr>
      <w:rPr>
        <w:rFonts w:ascii="Symbol" w:hAnsi="Symbol" w:cs="Symbol" w:hint="default"/>
      </w:rPr>
    </w:lvl>
    <w:lvl w:ilvl="7">
      <w:start w:val="1"/>
      <w:numFmt w:val="bullet"/>
      <w:lvlText w:val="o"/>
      <w:lvlJc w:val="left"/>
      <w:pPr>
        <w:tabs>
          <w:tab w:val="num" w:pos="0"/>
        </w:tabs>
        <w:ind w:left="5437" w:hanging="360"/>
      </w:pPr>
      <w:rPr>
        <w:rFonts w:ascii="Courier New" w:hAnsi="Courier New" w:cs="Courier New" w:hint="default"/>
      </w:rPr>
    </w:lvl>
    <w:lvl w:ilvl="8">
      <w:start w:val="1"/>
      <w:numFmt w:val="bullet"/>
      <w:lvlText w:val=""/>
      <w:lvlJc w:val="left"/>
      <w:pPr>
        <w:tabs>
          <w:tab w:val="num" w:pos="0"/>
        </w:tabs>
        <w:ind w:left="6157" w:hanging="360"/>
      </w:pPr>
      <w:rPr>
        <w:rFonts w:ascii="Wingdings" w:hAnsi="Wingdings" w:cs="Wingdings" w:hint="default"/>
      </w:rPr>
    </w:lvl>
  </w:abstractNum>
  <w:abstractNum w:abstractNumId="7">
    <w:lvl w:ilvl="0">
      <w:start w:val="1"/>
      <w:numFmt w:val="decimal"/>
      <w:lvlText w:val="%1."/>
      <w:lvlJc w:val="left"/>
      <w:pPr>
        <w:tabs>
          <w:tab w:val="num" w:pos="0"/>
        </w:tabs>
        <w:ind w:left="720" w:hanging="720"/>
      </w:pPr>
      <w:rPr>
        <w:smallCaps w:val="false"/>
        <w:caps w:val="false"/>
        <w:outline w:val="false"/>
        <w:dstrike w:val="false"/>
        <w:strike w:val="false"/>
        <w:vertAlign w:val="baseline"/>
        <w:position w:val="0"/>
        <w:sz w:val="20"/>
        <w:sz w:val="20"/>
        <w:spacing w:val="0"/>
        <w:i w:val="false"/>
        <w:shadow w:val="false"/>
        <w:u w:val="none"/>
        <w:b w:val="false"/>
        <w:kern w:val="0"/>
        <w:effect w:val="none"/>
        <w:iCs w:val="false"/>
        <w:bCs w:val="false"/>
        <w:em w:val="none"/>
        <w:emboss w:val="false"/>
        <w:imprint w:val="false"/>
        <w:vanish w:val="false"/>
      </w:rPr>
    </w:lvl>
    <w:lvl w:ilvl="1">
      <w:start w:val="1"/>
      <w:numFmt w:val="lowerLetter"/>
      <w:lvlText w:val="(%2)"/>
      <w:lvlJc w:val="left"/>
      <w:pPr>
        <w:tabs>
          <w:tab w:val="num" w:pos="0"/>
        </w:tabs>
        <w:ind w:left="1152" w:hanging="432"/>
      </w:pPr>
      <w:rPr>
        <w:sz w:val="24"/>
        <w:i/>
        <w:b w:val="false"/>
        <w:rFonts w:ascii="Arial" w:hAnsi="Arial"/>
      </w:rPr>
    </w:lvl>
    <w:lvl w:ilvl="2">
      <w:start w:val="1"/>
      <w:numFmt w:val="lowerRoman"/>
      <w:lvlText w:val="(%3)"/>
      <w:lvlJc w:val="left"/>
      <w:pPr>
        <w:tabs>
          <w:tab w:val="num" w:pos="1584"/>
        </w:tabs>
        <w:ind w:left="1584" w:hanging="432"/>
      </w:pPr>
      <w:rPr>
        <w:sz w:val="24"/>
        <w:i w:val="false"/>
        <w:b w:val="false"/>
        <w:rFonts w:ascii="Arial" w:hAnsi="Arial"/>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ja-JP"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eastAsiaTheme="minorHAnsi"/>
        <w:lang w:val="en-US" w:eastAsia="en-US" w:bidi="en-US"/>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1" w:semiHidden="1" w:unhideWhenUsed="1" w:qFormat="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uiPriority="99" w:semiHidden="1" w:unhideWhenUsed="1"/>
    <w:lsdException w:name="HTML Bottom of Form" w:uiPriority="99"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6452b7"/>
    <w:pPr>
      <w:widowControl/>
      <w:suppressAutoHyphens w:val="true"/>
      <w:bidi w:val="0"/>
      <w:spacing w:lineRule="auto" w:line="288" w:before="0" w:after="240"/>
      <w:jc w:val="left"/>
    </w:pPr>
    <w:rPr>
      <w:rFonts w:ascii="Arial" w:hAnsi="Arial" w:eastAsia="Times New Roman" w:cs="Arial" w:eastAsiaTheme="minorHAnsi"/>
      <w:color w:val="auto"/>
      <w:kern w:val="0"/>
      <w:sz w:val="24"/>
      <w:szCs w:val="22"/>
      <w:lang w:val="en-GB" w:eastAsia="en-GB" w:bidi="ar-SA"/>
    </w:rPr>
  </w:style>
  <w:style w:type="paragraph" w:styleId="Heading1">
    <w:name w:val="Heading 1"/>
    <w:basedOn w:val="Normal"/>
    <w:next w:val="Normal"/>
    <w:link w:val="Heading1Char"/>
    <w:qFormat/>
    <w:rsid w:val="00e74dcb"/>
    <w:pPr>
      <w:keepNext w:val="true"/>
      <w:spacing w:before="360" w:after="240"/>
      <w:outlineLvl w:val="0"/>
    </w:pPr>
    <w:rPr>
      <w:rFonts w:eastAsia="ＭＳ Ｐゴシック" w:cs="Arial" w:cstheme="majorBidi" w:eastAsiaTheme="majorEastAsia"/>
      <w:b/>
      <w:bCs/>
      <w:kern w:val="2"/>
      <w:sz w:val="28"/>
      <w:szCs w:val="32"/>
    </w:rPr>
  </w:style>
  <w:style w:type="paragraph" w:styleId="Heading2">
    <w:name w:val="Heading 2"/>
    <w:basedOn w:val="Normal"/>
    <w:next w:val="Normal"/>
    <w:link w:val="Heading2Char"/>
    <w:qFormat/>
    <w:rsid w:val="00466d25"/>
    <w:pPr>
      <w:outlineLvl w:val="1"/>
    </w:pPr>
    <w:rPr>
      <w:b/>
      <w:bCs/>
    </w:rPr>
  </w:style>
  <w:style w:type="paragraph" w:styleId="Heading3">
    <w:name w:val="Heading 3"/>
    <w:basedOn w:val="Normal"/>
    <w:next w:val="Normal"/>
    <w:link w:val="Heading3Char"/>
    <w:qFormat/>
    <w:rsid w:val="00e74dcb"/>
    <w:pPr>
      <w:keepNext w:val="true"/>
      <w:spacing w:before="360" w:after="240"/>
      <w:outlineLvl w:val="2"/>
    </w:pPr>
    <w:rPr>
      <w:rFonts w:eastAsia="ＭＳ Ｐゴシック" w:cs="Arial" w:cstheme="majorBidi" w:eastAsiaTheme="majorEastAsia"/>
      <w:bCs/>
      <w:i/>
      <w:szCs w:val="26"/>
    </w:rPr>
  </w:style>
  <w:style w:type="paragraph" w:styleId="Heading4">
    <w:name w:val="Heading 4"/>
    <w:basedOn w:val="Normal"/>
    <w:next w:val="Normal"/>
    <w:link w:val="Heading4Char"/>
    <w:qFormat/>
    <w:rsid w:val="00e74dcb"/>
    <w:pPr>
      <w:keepNext w:val="true"/>
      <w:spacing w:before="360" w:after="240"/>
      <w:ind w:left="720" w:hanging="0"/>
      <w:outlineLvl w:val="3"/>
    </w:pPr>
    <w:rPr>
      <w:rFonts w:eastAsia="ＭＳ Ｐ明朝" w:cs="Times New Roman" w:cstheme="minorBidi" w:eastAsiaTheme="minorEastAsia"/>
      <w:bCs/>
      <w:i/>
      <w:szCs w:val="28"/>
    </w:rPr>
  </w:style>
  <w:style w:type="paragraph" w:styleId="Heading5">
    <w:name w:val="Heading 5"/>
    <w:basedOn w:val="Normal"/>
    <w:next w:val="Normal"/>
    <w:link w:val="Heading5Char"/>
    <w:qFormat/>
    <w:rsid w:val="00305fa2"/>
    <w:pPr>
      <w:keepNext w:val="true"/>
      <w:numPr>
        <w:ilvl w:val="0"/>
        <w:numId w:val="1"/>
      </w:numPr>
      <w:spacing w:before="360" w:after="240"/>
      <w:outlineLvl w:val="0"/>
    </w:pPr>
    <w:rPr>
      <w:rFonts w:eastAsia="ＭＳ Ｐ明朝" w:cs="Times New Roman" w:cstheme="minorBidi" w:eastAsiaTheme="minorEastAsia"/>
      <w:bCs/>
      <w:i/>
      <w:iCs/>
      <w:szCs w:val="26"/>
    </w:rPr>
  </w:style>
  <w:style w:type="paragraph" w:styleId="Heading6">
    <w:name w:val="Heading 6"/>
    <w:basedOn w:val="Normal"/>
    <w:next w:val="Normal"/>
    <w:link w:val="Heading6Char"/>
    <w:semiHidden/>
    <w:qFormat/>
    <w:rsid w:val="00db4e38"/>
    <w:pPr>
      <w:keepNext w:val="true"/>
      <w:spacing w:lineRule="auto" w:line="240" w:before="360" w:after="240"/>
      <w:ind w:left="720" w:hanging="0"/>
      <w:outlineLvl w:val="5"/>
    </w:pPr>
    <w:rPr>
      <w:rFonts w:eastAsia="ＭＳ Ｐ明朝" w:cs="Times New Roman" w:cstheme="minorBidi" w:eastAsiaTheme="minorEastAsia"/>
      <w:bCs/>
      <w:i/>
    </w:rPr>
  </w:style>
  <w:style w:type="paragraph" w:styleId="Heading7">
    <w:name w:val="Heading 7"/>
    <w:basedOn w:val="Normal"/>
    <w:next w:val="Normal"/>
    <w:link w:val="Heading7Char"/>
    <w:semiHidden/>
    <w:qFormat/>
    <w:rsid w:val="00db4e38"/>
    <w:pPr>
      <w:keepNext w:val="true"/>
      <w:numPr>
        <w:ilvl w:val="0"/>
        <w:numId w:val="2"/>
      </w:numPr>
      <w:spacing w:lineRule="auto" w:line="240" w:before="360" w:after="240"/>
      <w:ind w:left="1008" w:hanging="288"/>
    </w:pPr>
    <w:rPr>
      <w:rFonts w:eastAsia="ＭＳ Ｐ明朝" w:cs="Times New Roman" w:cstheme="minorBidi" w:eastAsiaTheme="minorEastAsia"/>
      <w:i/>
      <w:szCs w:val="24"/>
    </w:rPr>
  </w:style>
  <w:style w:type="paragraph" w:styleId="Heading8">
    <w:name w:val="Heading 8"/>
    <w:basedOn w:val="Normal"/>
    <w:next w:val="Normal"/>
    <w:link w:val="Heading8Char"/>
    <w:semiHidden/>
    <w:unhideWhenUsed/>
    <w:qFormat/>
    <w:rsid w:val="00367de2"/>
    <w:pPr>
      <w:spacing w:before="240" w:after="60"/>
      <w:outlineLvl w:val="7"/>
    </w:pPr>
    <w:rPr>
      <w:rFonts w:ascii="Times New Roman" w:hAnsi="Times New Roman" w:eastAsia="ＭＳ Ｐ明朝" w:cs="Times New Roman" w:asciiTheme="minorHAnsi" w:cstheme="minorBidi" w:eastAsiaTheme="minorEastAsia" w:hAnsiTheme="minorHAnsi"/>
      <w:i/>
      <w:iCs/>
      <w:szCs w:val="24"/>
    </w:rPr>
  </w:style>
  <w:style w:type="paragraph" w:styleId="Heading9">
    <w:name w:val="Heading 9"/>
    <w:basedOn w:val="Normal"/>
    <w:next w:val="Normal"/>
    <w:link w:val="Heading9Char"/>
    <w:semiHidden/>
    <w:unhideWhenUsed/>
    <w:qFormat/>
    <w:rsid w:val="00367de2"/>
    <w:pPr>
      <w:spacing w:before="240" w:after="60"/>
      <w:outlineLvl w:val="8"/>
    </w:pPr>
    <w:rPr>
      <w:rFonts w:ascii="Arial" w:hAnsi="Arial" w:eastAsia="ＭＳ Ｐゴシック" w:cs="Arial" w:asciiTheme="majorHAnsi" w:cstheme="majorBidi" w:eastAsiaTheme="majorEastAsia" w:hAnsiTheme="majorHAnsi"/>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qFormat/>
    <w:rsid w:val="00e74dcb"/>
    <w:rPr>
      <w:rFonts w:ascii="Arial" w:hAnsi="Arial" w:eastAsia="ＭＳ Ｐゴシック" w:cs="Arial" w:cstheme="majorBidi" w:eastAsiaTheme="majorEastAsia"/>
      <w:b/>
      <w:bCs/>
      <w:kern w:val="2"/>
      <w:sz w:val="28"/>
      <w:szCs w:val="32"/>
      <w:lang w:val="en-GB" w:eastAsia="en-GB" w:bidi="ar-SA"/>
    </w:rPr>
  </w:style>
  <w:style w:type="character" w:styleId="Heading2Char" w:customStyle="1">
    <w:name w:val="Heading 2 Char"/>
    <w:basedOn w:val="DefaultParagraphFont"/>
    <w:link w:val="Heading2"/>
    <w:qFormat/>
    <w:rsid w:val="00466d25"/>
    <w:rPr>
      <w:rFonts w:ascii="Arial" w:hAnsi="Arial" w:eastAsia="Times New Roman" w:cs="Arial"/>
      <w:b/>
      <w:bCs/>
      <w:sz w:val="24"/>
      <w:szCs w:val="22"/>
      <w:lang w:val="en-GB" w:eastAsia="en-GB" w:bidi="ar-SA"/>
    </w:rPr>
  </w:style>
  <w:style w:type="character" w:styleId="Heading3Char" w:customStyle="1">
    <w:name w:val="Heading 3 Char"/>
    <w:basedOn w:val="DefaultParagraphFont"/>
    <w:link w:val="Heading3"/>
    <w:qFormat/>
    <w:rsid w:val="00e74dcb"/>
    <w:rPr>
      <w:rFonts w:ascii="Arial" w:hAnsi="Arial" w:eastAsia="ＭＳ Ｐゴシック" w:cs="Arial" w:cstheme="majorBidi" w:eastAsiaTheme="majorEastAsia"/>
      <w:bCs/>
      <w:i/>
      <w:sz w:val="24"/>
      <w:szCs w:val="26"/>
      <w:lang w:val="en-GB" w:eastAsia="en-GB" w:bidi="ar-SA"/>
    </w:rPr>
  </w:style>
  <w:style w:type="character" w:styleId="Heading4Char" w:customStyle="1">
    <w:name w:val="Heading 4 Char"/>
    <w:basedOn w:val="DefaultParagraphFont"/>
    <w:link w:val="Heading4"/>
    <w:qFormat/>
    <w:rsid w:val="00e74dcb"/>
    <w:rPr>
      <w:rFonts w:ascii="Arial" w:hAnsi="Arial" w:eastAsia="ＭＳ Ｐ明朝" w:cs="Times New Roman" w:cstheme="minorBidi" w:eastAsiaTheme="minorEastAsia"/>
      <w:bCs/>
      <w:i/>
      <w:sz w:val="24"/>
      <w:szCs w:val="28"/>
      <w:lang w:val="en-GB" w:eastAsia="en-GB" w:bidi="ar-SA"/>
    </w:rPr>
  </w:style>
  <w:style w:type="character" w:styleId="Heading5Char" w:customStyle="1">
    <w:name w:val="Heading 5 Char"/>
    <w:basedOn w:val="DefaultParagraphFont"/>
    <w:link w:val="Heading5"/>
    <w:qFormat/>
    <w:rsid w:val="00e74dcb"/>
    <w:rPr>
      <w:rFonts w:ascii="Arial" w:hAnsi="Arial" w:eastAsia="ＭＳ Ｐ明朝" w:cs="Times New Roman" w:cstheme="minorBidi" w:eastAsiaTheme="minorEastAsia"/>
      <w:bCs/>
      <w:i/>
      <w:iCs/>
      <w:sz w:val="24"/>
      <w:szCs w:val="26"/>
      <w:lang w:val="en-GB" w:eastAsia="en-GB" w:bidi="ar-SA"/>
    </w:rPr>
  </w:style>
  <w:style w:type="character" w:styleId="Heading6Char" w:customStyle="1">
    <w:name w:val="Heading 6 Char"/>
    <w:basedOn w:val="DefaultParagraphFont"/>
    <w:link w:val="Heading6"/>
    <w:semiHidden/>
    <w:qFormat/>
    <w:rsid w:val="00305fa2"/>
    <w:rPr>
      <w:rFonts w:ascii="Arial" w:hAnsi="Arial" w:eastAsia="ＭＳ Ｐ明朝" w:cs="Times New Roman" w:cstheme="minorBidi" w:eastAsiaTheme="minorEastAsia"/>
      <w:bCs/>
      <w:i/>
      <w:sz w:val="24"/>
      <w:szCs w:val="22"/>
      <w:lang w:val="en-GB" w:eastAsia="en-GB" w:bidi="ar-SA"/>
    </w:rPr>
  </w:style>
  <w:style w:type="character" w:styleId="Heading7Char" w:customStyle="1">
    <w:name w:val="Heading 7 Char"/>
    <w:basedOn w:val="DefaultParagraphFont"/>
    <w:link w:val="Heading7"/>
    <w:semiHidden/>
    <w:qFormat/>
    <w:rsid w:val="00305fa2"/>
    <w:rPr>
      <w:rFonts w:ascii="Arial" w:hAnsi="Arial" w:eastAsia="ＭＳ Ｐ明朝" w:cs="Times New Roman" w:cstheme="minorBidi" w:eastAsiaTheme="minorEastAsia"/>
      <w:i/>
      <w:sz w:val="24"/>
      <w:szCs w:val="24"/>
      <w:lang w:val="en-GB" w:eastAsia="en-GB" w:bidi="ar-SA"/>
    </w:rPr>
  </w:style>
  <w:style w:type="character" w:styleId="Heading8Char" w:customStyle="1">
    <w:name w:val="Heading 8 Char"/>
    <w:basedOn w:val="DefaultParagraphFont"/>
    <w:link w:val="Heading8"/>
    <w:semiHidden/>
    <w:qFormat/>
    <w:rsid w:val="00367de2"/>
    <w:rPr>
      <w:rFonts w:ascii="Times New Roman" w:hAnsi="Times New Roman" w:eastAsia="ＭＳ Ｐ明朝" w:cs="Times New Roman" w:asciiTheme="minorHAnsi" w:cstheme="minorBidi" w:eastAsiaTheme="minorEastAsia" w:hAnsiTheme="minorHAnsi"/>
      <w:i/>
      <w:iCs/>
      <w:sz w:val="24"/>
      <w:szCs w:val="24"/>
      <w:lang w:val="en-GB" w:eastAsia="en-GB" w:bidi="ar-SA"/>
    </w:rPr>
  </w:style>
  <w:style w:type="character" w:styleId="Heading9Char" w:customStyle="1">
    <w:name w:val="Heading 9 Char"/>
    <w:basedOn w:val="DefaultParagraphFont"/>
    <w:link w:val="Heading9"/>
    <w:semiHidden/>
    <w:qFormat/>
    <w:rsid w:val="00367de2"/>
    <w:rPr>
      <w:rFonts w:ascii="Arial" w:hAnsi="Arial" w:eastAsia="ＭＳ Ｐゴシック" w:cs="Arial" w:asciiTheme="majorHAnsi" w:cstheme="majorBidi" w:eastAsiaTheme="majorEastAsia" w:hAnsiTheme="majorHAnsi"/>
      <w:sz w:val="22"/>
      <w:szCs w:val="22"/>
      <w:lang w:val="en-GB" w:eastAsia="en-GB" w:bidi="ar-SA"/>
    </w:rPr>
  </w:style>
  <w:style w:type="character" w:styleId="TitleChar" w:customStyle="1">
    <w:name w:val="Title Char"/>
    <w:basedOn w:val="DefaultParagraphFont"/>
    <w:link w:val="Title"/>
    <w:qFormat/>
    <w:rsid w:val="002e0f63"/>
    <w:rPr>
      <w:rFonts w:ascii="Arial" w:hAnsi="Arial" w:eastAsia="ＭＳ Ｐゴシック" w:cs="Arial" w:cstheme="majorBidi" w:eastAsiaTheme="majorEastAsia"/>
      <w:b/>
      <w:bCs/>
      <w:kern w:val="2"/>
      <w:sz w:val="36"/>
      <w:szCs w:val="32"/>
      <w:lang w:val="en-GB" w:eastAsia="en-GB" w:bidi="ar-SA"/>
    </w:rPr>
  </w:style>
  <w:style w:type="character" w:styleId="SubtitleChar" w:customStyle="1">
    <w:name w:val="Subtitle Char"/>
    <w:basedOn w:val="DefaultParagraphFont"/>
    <w:link w:val="Subtitle"/>
    <w:semiHidden/>
    <w:qFormat/>
    <w:rsid w:val="00305fa2"/>
    <w:rPr>
      <w:rFonts w:ascii="Arial" w:hAnsi="Arial" w:eastAsia="ＭＳ Ｐゴシック" w:cs="Arial" w:asciiTheme="majorHAnsi" w:cstheme="majorBidi" w:eastAsiaTheme="majorEastAsia" w:hAnsiTheme="majorHAnsi"/>
      <w:sz w:val="24"/>
      <w:szCs w:val="24"/>
      <w:lang w:val="en-GB" w:eastAsia="en-GB" w:bidi="ar-SA"/>
    </w:rPr>
  </w:style>
  <w:style w:type="character" w:styleId="Strong">
    <w:name w:val="Strong"/>
    <w:uiPriority w:val="22"/>
    <w:qFormat/>
    <w:rsid w:val="00367de2"/>
    <w:rPr>
      <w:b/>
      <w:bCs/>
    </w:rPr>
  </w:style>
  <w:style w:type="character" w:styleId="Emphasis">
    <w:name w:val="Emphasis"/>
    <w:semiHidden/>
    <w:qFormat/>
    <w:rsid w:val="00367de2"/>
    <w:rPr>
      <w:i/>
      <w:iCs/>
    </w:rPr>
  </w:style>
  <w:style w:type="character" w:styleId="NoSpacingChar" w:customStyle="1">
    <w:name w:val="No Spacing Char"/>
    <w:basedOn w:val="DefaultParagraphFont"/>
    <w:link w:val="NoSpacing"/>
    <w:uiPriority w:val="1"/>
    <w:semiHidden/>
    <w:qFormat/>
    <w:rsid w:val="00305fa2"/>
    <w:rPr>
      <w:rFonts w:ascii="Arial" w:hAnsi="Arial" w:eastAsia="Times New Roman" w:cs="Arial"/>
      <w:sz w:val="24"/>
      <w:szCs w:val="22"/>
      <w:lang w:val="en-GB" w:eastAsia="en-GB" w:bidi="ar-SA"/>
    </w:rPr>
  </w:style>
  <w:style w:type="character" w:styleId="QuoteChar" w:customStyle="1">
    <w:name w:val="Quote Char"/>
    <w:basedOn w:val="DefaultParagraphFont"/>
    <w:link w:val="Quote"/>
    <w:qFormat/>
    <w:rsid w:val="00305fa2"/>
    <w:rPr>
      <w:rFonts w:ascii="Arial" w:hAnsi="Arial" w:eastAsia="Times New Roman" w:cs="Arial"/>
      <w:iCs/>
      <w:color w:val="000000" w:themeColor="text1"/>
      <w:sz w:val="24"/>
      <w:szCs w:val="22"/>
      <w:lang w:val="en-GB" w:eastAsia="en-GB" w:bidi="ar-SA"/>
    </w:rPr>
  </w:style>
  <w:style w:type="character" w:styleId="IntenseQuoteChar" w:customStyle="1">
    <w:name w:val="Intense Quote Char"/>
    <w:basedOn w:val="DefaultParagraphFont"/>
    <w:link w:val="IntenseQuote"/>
    <w:uiPriority w:val="30"/>
    <w:semiHidden/>
    <w:qFormat/>
    <w:rsid w:val="00305fa2"/>
    <w:rPr>
      <w:rFonts w:ascii="Arial" w:hAnsi="Arial" w:eastAsia="Times New Roman" w:cs="Arial"/>
      <w:b/>
      <w:bCs/>
      <w:i/>
      <w:iCs/>
      <w:color w:val="0046AD" w:themeColor="accent1"/>
      <w:sz w:val="24"/>
      <w:szCs w:val="22"/>
      <w:lang w:val="en-GB" w:eastAsia="en-GB" w:bidi="ar-SA"/>
    </w:rPr>
  </w:style>
  <w:style w:type="character" w:styleId="SubtleEmphasis">
    <w:name w:val="Subtle Emphasis"/>
    <w:uiPriority w:val="19"/>
    <w:semiHidden/>
    <w:qFormat/>
    <w:rsid w:val="00367de2"/>
    <w:rPr>
      <w:i/>
      <w:iCs/>
      <w:color w:val="808080" w:themeColor="text1" w:themeTint="7f"/>
    </w:rPr>
  </w:style>
  <w:style w:type="character" w:styleId="IntenseEmphasis">
    <w:name w:val="Intense Emphasis"/>
    <w:uiPriority w:val="21"/>
    <w:semiHidden/>
    <w:qFormat/>
    <w:rsid w:val="00367de2"/>
    <w:rPr>
      <w:b/>
      <w:bCs/>
      <w:i/>
      <w:iCs/>
      <w:color w:val="0046AD" w:themeColor="accent1"/>
    </w:rPr>
  </w:style>
  <w:style w:type="character" w:styleId="SubtleReference">
    <w:name w:val="Subtle Reference"/>
    <w:uiPriority w:val="31"/>
    <w:semiHidden/>
    <w:qFormat/>
    <w:rsid w:val="00367de2"/>
    <w:rPr>
      <w:smallCaps/>
      <w:color w:val="A0DAE8" w:themeColor="accent2"/>
      <w:u w:val="single"/>
    </w:rPr>
  </w:style>
  <w:style w:type="character" w:styleId="IntenseReference">
    <w:name w:val="Intense Reference"/>
    <w:uiPriority w:val="32"/>
    <w:semiHidden/>
    <w:qFormat/>
    <w:rsid w:val="00367de2"/>
    <w:rPr>
      <w:b/>
      <w:bCs/>
      <w:smallCaps/>
      <w:color w:val="A0DAE8" w:themeColor="accent2"/>
      <w:spacing w:val="5"/>
      <w:u w:val="single"/>
    </w:rPr>
  </w:style>
  <w:style w:type="character" w:styleId="BookTitle">
    <w:name w:val="Book Title"/>
    <w:uiPriority w:val="33"/>
    <w:semiHidden/>
    <w:qFormat/>
    <w:rsid w:val="00367de2"/>
    <w:rPr>
      <w:b/>
      <w:bCs/>
      <w:smallCaps/>
      <w:spacing w:val="5"/>
    </w:rPr>
  </w:style>
  <w:style w:type="character" w:styleId="HeaderChar" w:customStyle="1">
    <w:name w:val="Header Char"/>
    <w:basedOn w:val="DefaultParagraphFont"/>
    <w:link w:val="Header"/>
    <w:qFormat/>
    <w:rsid w:val="00305fa2"/>
    <w:rPr>
      <w:rFonts w:ascii="Arial" w:hAnsi="Arial" w:eastAsia="Times New Roman" w:cs="Arial"/>
      <w:szCs w:val="22"/>
      <w:lang w:val="en-GB" w:eastAsia="en-GB" w:bidi="ar-SA"/>
    </w:rPr>
  </w:style>
  <w:style w:type="character" w:styleId="FooterChar" w:customStyle="1">
    <w:name w:val="Footer Char"/>
    <w:basedOn w:val="DefaultParagraphFont"/>
    <w:link w:val="Footer"/>
    <w:uiPriority w:val="99"/>
    <w:qFormat/>
    <w:rsid w:val="00305fa2"/>
    <w:rPr>
      <w:rFonts w:ascii="Arial" w:hAnsi="Arial" w:eastAsia="Times New Roman" w:cs="Arial"/>
      <w:sz w:val="22"/>
      <w:szCs w:val="22"/>
      <w:lang w:val="en-GB" w:eastAsia="en-GB" w:bidi="ar-SA"/>
    </w:rPr>
  </w:style>
  <w:style w:type="character" w:styleId="BalloonTextChar" w:customStyle="1">
    <w:name w:val="Balloon Text Char"/>
    <w:basedOn w:val="DefaultParagraphFont"/>
    <w:link w:val="BalloonText"/>
    <w:semiHidden/>
    <w:qFormat/>
    <w:rsid w:val="00367de2"/>
    <w:rPr>
      <w:rFonts w:ascii="Tahoma" w:hAnsi="Tahoma" w:cs="Tahoma"/>
      <w:sz w:val="16"/>
      <w:szCs w:val="16"/>
      <w:lang w:val="en-GB" w:eastAsia="en-GB" w:bidi="ar-SA"/>
    </w:rPr>
  </w:style>
  <w:style w:type="character" w:styleId="CommentTextChar" w:customStyle="1">
    <w:name w:val="Comment Text Char"/>
    <w:basedOn w:val="DefaultParagraphFont"/>
    <w:semiHidden/>
    <w:qFormat/>
    <w:rsid w:val="00367de2"/>
    <w:rPr>
      <w:rFonts w:eastAsia="SimSun" w:cs="Arial"/>
      <w:lang w:eastAsia="zh-CN" w:bidi="ar-SA"/>
    </w:rPr>
  </w:style>
  <w:style w:type="character" w:styleId="Annotationreference">
    <w:name w:val="annotation reference"/>
    <w:basedOn w:val="DefaultParagraphFont"/>
    <w:semiHidden/>
    <w:qFormat/>
    <w:rsid w:val="00367de2"/>
    <w:rPr>
      <w:sz w:val="16"/>
      <w:szCs w:val="16"/>
    </w:rPr>
  </w:style>
  <w:style w:type="character" w:styleId="BodyTextChar" w:customStyle="1">
    <w:name w:val="Body Text Char"/>
    <w:basedOn w:val="DefaultParagraphFont"/>
    <w:qFormat/>
    <w:rsid w:val="009a17f2"/>
    <w:rPr>
      <w:rFonts w:ascii="Arial" w:hAnsi="Arial" w:eastAsia="Times New Roman" w:cs="Arial"/>
      <w:sz w:val="24"/>
      <w:szCs w:val="22"/>
      <w:lang w:val="en-GB"/>
    </w:rPr>
  </w:style>
  <w:style w:type="character" w:styleId="CommentSubjectChar" w:customStyle="1">
    <w:name w:val="Comment Subject Char"/>
    <w:basedOn w:val="CommentTextChar"/>
    <w:semiHidden/>
    <w:qFormat/>
    <w:rsid w:val="00305fa2"/>
    <w:rPr>
      <w:rFonts w:ascii="Arial" w:hAnsi="Arial" w:eastAsia="SimSun" w:cs="Arial"/>
      <w:b/>
      <w:bCs/>
      <w:lang w:val="en-GB" w:eastAsia="en-GB" w:bidi="ar-SA"/>
    </w:rPr>
  </w:style>
  <w:style w:type="character" w:styleId="FootnoteTextChar" w:customStyle="1">
    <w:name w:val="Footnote Text Char"/>
    <w:basedOn w:val="DefaultParagraphFont"/>
    <w:uiPriority w:val="1"/>
    <w:qFormat/>
    <w:rsid w:val="006452b7"/>
    <w:rPr>
      <w:rFonts w:ascii="Arial" w:hAnsi="Arial" w:eastAsia="Times New Roman" w:cs="Arial"/>
      <w:sz w:val="18"/>
      <w:lang w:val="en-GB" w:eastAsia="en-GB" w:bidi="ar-SA"/>
    </w:rPr>
  </w:style>
  <w:style w:type="character" w:styleId="FootnoteCharacters">
    <w:name w:val="Footnote Characters"/>
    <w:qFormat/>
    <w:rsid w:val="00305fa2"/>
    <w:rPr>
      <w:rFonts w:ascii="Arial" w:hAnsi="Arial"/>
      <w:caps w:val="false"/>
      <w:smallCaps w:val="false"/>
      <w:strike w:val="false"/>
      <w:dstrike w:val="false"/>
      <w:vanish w:val="false"/>
      <w:sz w:val="24"/>
      <w:vertAlign w:val="superscript"/>
    </w:rPr>
  </w:style>
  <w:style w:type="character" w:styleId="FootnoteAnchor">
    <w:name w:val="Footnote Reference"/>
    <w:rPr>
      <w:rFonts w:ascii="Arial" w:hAnsi="Arial"/>
      <w:caps w:val="false"/>
      <w:smallCaps w:val="false"/>
      <w:strike w:val="false"/>
      <w:dstrike w:val="false"/>
      <w:vanish w:val="false"/>
      <w:sz w:val="24"/>
      <w:vertAlign w:val="superscript"/>
    </w:rPr>
  </w:style>
  <w:style w:type="character" w:styleId="Pagenumber">
    <w:name w:val="page number"/>
    <w:basedOn w:val="DefaultParagraphFont"/>
    <w:qFormat/>
    <w:rsid w:val="000d5d84"/>
    <w:rPr>
      <w:rFonts w:ascii="Arial" w:hAnsi="Arial"/>
      <w:b w:val="false"/>
      <w:i w:val="false"/>
      <w:caps w:val="false"/>
      <w:smallCaps w:val="false"/>
      <w:strike w:val="false"/>
      <w:dstrike w:val="false"/>
      <w:vanish w:val="false"/>
      <w:position w:val="0"/>
      <w:sz w:val="22"/>
      <w:sz w:val="22"/>
      <w:vertAlign w:val="baseline"/>
    </w:rPr>
  </w:style>
  <w:style w:type="character" w:styleId="BodyTextIndentChar" w:customStyle="1">
    <w:name w:val="Body Text Indent Char"/>
    <w:basedOn w:val="DefaultParagraphFont"/>
    <w:semiHidden/>
    <w:qFormat/>
    <w:rsid w:val="00305fa2"/>
    <w:rPr>
      <w:rFonts w:ascii="Arial" w:hAnsi="Arial" w:eastAsia="Times New Roman" w:cs="Arial"/>
      <w:sz w:val="24"/>
      <w:szCs w:val="22"/>
      <w:lang w:val="en-GB" w:eastAsia="en-GB" w:bidi="ar-SA"/>
    </w:rPr>
  </w:style>
  <w:style w:type="character" w:styleId="BodyText2Char" w:customStyle="1">
    <w:name w:val="Body Text 2 Char"/>
    <w:basedOn w:val="DefaultParagraphFont"/>
    <w:link w:val="BodyText2"/>
    <w:semiHidden/>
    <w:qFormat/>
    <w:rsid w:val="00305fa2"/>
    <w:rPr>
      <w:rFonts w:ascii="Arial" w:hAnsi="Arial" w:eastAsia="Times New Roman" w:cs="Arial"/>
      <w:sz w:val="24"/>
      <w:szCs w:val="22"/>
      <w:lang w:val="en-GB" w:eastAsia="en-GB" w:bidi="ar-SA"/>
    </w:rPr>
  </w:style>
  <w:style w:type="character" w:styleId="InternetLink">
    <w:name w:val="Hyperlink"/>
    <w:basedOn w:val="DefaultParagraphFont"/>
    <w:uiPriority w:val="99"/>
    <w:rsid w:val="005e479d"/>
    <w:rPr>
      <w:color w:val="0000FF"/>
      <w:u w:val="none"/>
    </w:rPr>
  </w:style>
  <w:style w:type="character" w:styleId="HTMLPreformattedChar" w:customStyle="1">
    <w:name w:val="HTML Preformatted Char"/>
    <w:basedOn w:val="DefaultParagraphFont"/>
    <w:link w:val="HTMLPreformatted"/>
    <w:semiHidden/>
    <w:qFormat/>
    <w:rsid w:val="00305fa2"/>
    <w:rPr>
      <w:rFonts w:ascii="Courier New" w:hAnsi="Courier New" w:eastAsia="Times New Roman" w:cs="Courier New"/>
      <w:lang w:val="en-GB" w:eastAsia="en-GB" w:bidi="ar-SA"/>
    </w:rPr>
  </w:style>
  <w:style w:type="character" w:styleId="StyleArial11pt" w:customStyle="1">
    <w:name w:val="Style Arial 11 pt"/>
    <w:basedOn w:val="DefaultParagraphFont"/>
    <w:semiHidden/>
    <w:qFormat/>
    <w:rsid w:val="0003368d"/>
    <w:rPr>
      <w:rFonts w:ascii="Arial" w:hAnsi="Arial"/>
      <w:sz w:val="22"/>
      <w:szCs w:val="22"/>
    </w:rPr>
  </w:style>
  <w:style w:type="character" w:styleId="EndnoteCharacters">
    <w:name w:val="Endnote Characters"/>
    <w:semiHidden/>
    <w:qFormat/>
    <w:rsid w:val="00367de2"/>
    <w:rPr>
      <w:vertAlign w:val="superscript"/>
    </w:rPr>
  </w:style>
  <w:style w:type="character" w:styleId="EndnoteAnchor">
    <w:name w:val="Endnote Reference"/>
    <w:rPr>
      <w:vertAlign w:val="superscript"/>
    </w:rPr>
  </w:style>
  <w:style w:type="character" w:styleId="EndnoteTextChar" w:customStyle="1">
    <w:name w:val="Endnote Text Char"/>
    <w:basedOn w:val="DefaultParagraphFont"/>
    <w:semiHidden/>
    <w:qFormat/>
    <w:rsid w:val="00305fa2"/>
    <w:rPr>
      <w:rFonts w:ascii="Arial" w:hAnsi="Arial" w:eastAsia="Times New Roman" w:cs="Arial"/>
      <w:lang w:val="en-GB" w:eastAsia="en-GB" w:bidi="ar-SA"/>
    </w:rPr>
  </w:style>
  <w:style w:type="character" w:styleId="VisitedInternetLink">
    <w:name w:val="FollowedHyperlink"/>
    <w:basedOn w:val="DefaultParagraphFont"/>
    <w:rsid w:val="005e479d"/>
    <w:rPr>
      <w:color w:val="800080"/>
      <w:u w:val="none"/>
    </w:rPr>
  </w:style>
  <w:style w:type="character" w:styleId="DateChar" w:customStyle="1">
    <w:name w:val="Date Char"/>
    <w:basedOn w:val="DefaultParagraphFont"/>
    <w:link w:val="Date"/>
    <w:semiHidden/>
    <w:qFormat/>
    <w:rsid w:val="00305fa2"/>
    <w:rPr>
      <w:rFonts w:ascii="Arial" w:hAnsi="Arial" w:eastAsia="Times New Roman" w:cs="Arial"/>
      <w:sz w:val="24"/>
      <w:szCs w:val="22"/>
      <w:lang w:val="en-GB" w:eastAsia="en-GB" w:bidi="ar-SA"/>
    </w:rPr>
  </w:style>
  <w:style w:type="character" w:styleId="Mention">
    <w:name w:val="Mention"/>
    <w:basedOn w:val="DefaultParagraphFont"/>
    <w:uiPriority w:val="99"/>
    <w:unhideWhenUsed/>
    <w:qFormat/>
    <w:rsid w:val="00174a52"/>
    <w:rPr>
      <w:color w:val="2B579A"/>
      <w:shd w:fill="E1DFDD" w:val="clear"/>
    </w:rPr>
  </w:style>
  <w:style w:type="character" w:styleId="UnresolvedMention">
    <w:name w:val="Unresolved Mention"/>
    <w:basedOn w:val="DefaultParagraphFont"/>
    <w:uiPriority w:val="99"/>
    <w:unhideWhenUsed/>
    <w:qFormat/>
    <w:rsid w:val="009e53ba"/>
    <w:rPr>
      <w:color w:val="605E5C"/>
      <w:shd w:fill="E1DFDD" w:val="clear"/>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link w:val="BodyTextChar"/>
    <w:qFormat/>
    <w:rsid w:val="009a17f2"/>
    <w:pPr>
      <w:numPr>
        <w:ilvl w:val="0"/>
        <w:numId w:val="7"/>
      </w:numPr>
    </w:pPr>
    <w:rPr>
      <w:lang w:eastAsia="en-US" w:bidi="en-US"/>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Caption1">
    <w:name w:val="caption"/>
    <w:basedOn w:val="Normal"/>
    <w:next w:val="Normal"/>
    <w:unhideWhenUsed/>
    <w:qFormat/>
    <w:rsid w:val="00bc54b7"/>
    <w:pPr>
      <w:jc w:val="center"/>
    </w:pPr>
    <w:rPr>
      <w:b/>
      <w:bCs/>
      <w:szCs w:val="20"/>
    </w:rPr>
  </w:style>
  <w:style w:type="paragraph" w:styleId="Title">
    <w:name w:val="Title"/>
    <w:basedOn w:val="Normal"/>
    <w:next w:val="Normal"/>
    <w:link w:val="TitleChar"/>
    <w:qFormat/>
    <w:rsid w:val="002e0f63"/>
    <w:pPr>
      <w:keepNext w:val="true"/>
      <w:spacing w:lineRule="auto" w:line="240" w:before="0" w:after="360"/>
      <w:jc w:val="center"/>
      <w:outlineLvl w:val="0"/>
    </w:pPr>
    <w:rPr>
      <w:rFonts w:eastAsia="ＭＳ Ｐゴシック" w:cs="Arial" w:cstheme="majorBidi" w:eastAsiaTheme="majorEastAsia"/>
      <w:b/>
      <w:bCs/>
      <w:kern w:val="2"/>
      <w:sz w:val="36"/>
      <w:szCs w:val="32"/>
    </w:rPr>
  </w:style>
  <w:style w:type="paragraph" w:styleId="Subtitle">
    <w:name w:val="Subtitle"/>
    <w:basedOn w:val="Normal"/>
    <w:next w:val="Normal"/>
    <w:link w:val="SubtitleChar"/>
    <w:semiHidden/>
    <w:qFormat/>
    <w:rsid w:val="00367de2"/>
    <w:pPr>
      <w:spacing w:before="0" w:after="60"/>
      <w:jc w:val="center"/>
      <w:outlineLvl w:val="1"/>
    </w:pPr>
    <w:rPr>
      <w:rFonts w:ascii="Arial" w:hAnsi="Arial" w:eastAsia="ＭＳ Ｐゴシック" w:cs="Arial" w:asciiTheme="majorHAnsi" w:cstheme="majorBidi" w:eastAsiaTheme="majorEastAsia" w:hAnsiTheme="majorHAnsi"/>
      <w:szCs w:val="24"/>
    </w:rPr>
  </w:style>
  <w:style w:type="paragraph" w:styleId="NoSpacing">
    <w:name w:val="No Spacing"/>
    <w:basedOn w:val="Normal"/>
    <w:link w:val="NoSpacingChar"/>
    <w:uiPriority w:val="1"/>
    <w:semiHidden/>
    <w:qFormat/>
    <w:rsid w:val="00367de2"/>
    <w:pPr/>
    <w:rPr/>
  </w:style>
  <w:style w:type="paragraph" w:styleId="ListParagraph">
    <w:name w:val="List Paragraph"/>
    <w:basedOn w:val="Normal"/>
    <w:uiPriority w:val="34"/>
    <w:qFormat/>
    <w:rsid w:val="00367de2"/>
    <w:pPr>
      <w:ind w:left="720" w:hanging="0"/>
    </w:pPr>
    <w:rPr/>
  </w:style>
  <w:style w:type="paragraph" w:styleId="Quote">
    <w:name w:val="Quote"/>
    <w:basedOn w:val="Normal"/>
    <w:next w:val="Normal"/>
    <w:link w:val="QuoteChar"/>
    <w:qFormat/>
    <w:rsid w:val="00bc54b7"/>
    <w:pPr>
      <w:ind w:left="1296" w:right="720" w:hanging="0"/>
    </w:pPr>
    <w:rPr>
      <w:iCs/>
      <w:color w:val="000000" w:themeColor="text1"/>
    </w:rPr>
  </w:style>
  <w:style w:type="paragraph" w:styleId="IntenseQuote">
    <w:name w:val="Intense Quote"/>
    <w:basedOn w:val="Normal"/>
    <w:next w:val="Normal"/>
    <w:link w:val="IntenseQuoteChar"/>
    <w:uiPriority w:val="30"/>
    <w:semiHidden/>
    <w:qFormat/>
    <w:rsid w:val="00367de2"/>
    <w:pPr>
      <w:pBdr>
        <w:bottom w:val="single" w:sz="4" w:space="4" w:color="0046AD"/>
      </w:pBdr>
      <w:spacing w:before="200" w:after="280"/>
      <w:ind w:left="936" w:right="936" w:hanging="0"/>
    </w:pPr>
    <w:rPr>
      <w:b/>
      <w:bCs/>
      <w:i/>
      <w:iCs/>
      <w:color w:val="0046AD" w:themeColor="accent1"/>
    </w:rPr>
  </w:style>
  <w:style w:type="paragraph" w:styleId="IndexHeading">
    <w:name w:val="Index Heading"/>
    <w:basedOn w:val="Heading"/>
    <w:pPr/>
    <w:rPr/>
  </w:style>
  <w:style w:type="paragraph" w:styleId="ContentsHeading">
    <w:name w:val="TOC Heading"/>
    <w:basedOn w:val="Heading1"/>
    <w:next w:val="Normal"/>
    <w:uiPriority w:val="39"/>
    <w:unhideWhenUsed/>
    <w:qFormat/>
    <w:rsid w:val="00367de2"/>
    <w:pPr>
      <w:outlineLvl w:val="9"/>
    </w:pPr>
    <w:rPr/>
  </w:style>
  <w:style w:type="paragraph" w:styleId="HeaderandFooter">
    <w:name w:val="Header and Footer"/>
    <w:basedOn w:val="Normal"/>
    <w:qFormat/>
    <w:pPr/>
    <w:rPr/>
  </w:style>
  <w:style w:type="paragraph" w:styleId="Header">
    <w:name w:val="Header"/>
    <w:basedOn w:val="Normal"/>
    <w:next w:val="Normal"/>
    <w:link w:val="HeaderChar"/>
    <w:rsid w:val="00305fa2"/>
    <w:pPr>
      <w:tabs>
        <w:tab w:val="clear" w:pos="720"/>
        <w:tab w:val="center" w:pos="4153" w:leader="none"/>
        <w:tab w:val="right" w:pos="8306" w:leader="none"/>
      </w:tabs>
      <w:spacing w:lineRule="auto" w:line="240" w:before="0" w:after="0"/>
      <w:jc w:val="right"/>
    </w:pPr>
    <w:rPr>
      <w:sz w:val="20"/>
    </w:rPr>
  </w:style>
  <w:style w:type="paragraph" w:styleId="Footer">
    <w:name w:val="Footer"/>
    <w:basedOn w:val="Normal"/>
    <w:next w:val="Normal"/>
    <w:link w:val="FooterChar"/>
    <w:uiPriority w:val="99"/>
    <w:rsid w:val="00305fa2"/>
    <w:pPr>
      <w:tabs>
        <w:tab w:val="clear" w:pos="720"/>
        <w:tab w:val="center" w:pos="4153" w:leader="none"/>
        <w:tab w:val="right" w:pos="8306" w:leader="none"/>
      </w:tabs>
      <w:spacing w:lineRule="auto" w:line="240" w:before="0" w:after="0"/>
      <w:jc w:val="center"/>
    </w:pPr>
    <w:rPr>
      <w:sz w:val="22"/>
    </w:rPr>
  </w:style>
  <w:style w:type="paragraph" w:styleId="BalloonText">
    <w:name w:val="Balloon Text"/>
    <w:basedOn w:val="Normal"/>
    <w:link w:val="BalloonTextChar"/>
    <w:semiHidden/>
    <w:qFormat/>
    <w:rsid w:val="00367de2"/>
    <w:pPr/>
    <w:rPr>
      <w:rFonts w:ascii="Tahoma" w:hAnsi="Tahoma" w:cs="Tahoma"/>
      <w:sz w:val="16"/>
      <w:szCs w:val="16"/>
    </w:rPr>
  </w:style>
  <w:style w:type="paragraph" w:styleId="Annotationtext">
    <w:name w:val="annotation text"/>
    <w:basedOn w:val="Normal"/>
    <w:link w:val="CommentTextChar"/>
    <w:semiHidden/>
    <w:qFormat/>
    <w:rsid w:val="00367de2"/>
    <w:pPr/>
    <w:rPr>
      <w:rFonts w:ascii="Times New Roman" w:hAnsi="Times New Roman" w:eastAsia="SimSun"/>
      <w:sz w:val="20"/>
      <w:szCs w:val="20"/>
      <w:lang w:val="en-US" w:eastAsia="zh-CN"/>
    </w:rPr>
  </w:style>
  <w:style w:type="paragraph" w:styleId="Annotationsubject">
    <w:name w:val="annotation subject"/>
    <w:basedOn w:val="Annotationtext"/>
    <w:next w:val="Annotationtext"/>
    <w:link w:val="CommentSubjectChar"/>
    <w:semiHidden/>
    <w:qFormat/>
    <w:rsid w:val="00367de2"/>
    <w:pPr/>
    <w:rPr>
      <w:rFonts w:ascii="Arial" w:hAnsi="Arial"/>
      <w:b/>
      <w:bCs/>
      <w:lang w:val="en-GB" w:eastAsia="en-GB"/>
    </w:rPr>
  </w:style>
  <w:style w:type="paragraph" w:styleId="Contents1">
    <w:name w:val="TOC 1"/>
    <w:basedOn w:val="Normal"/>
    <w:next w:val="Normal"/>
    <w:autoRedefine/>
    <w:uiPriority w:val="39"/>
    <w:rsid w:val="00d945d2"/>
    <w:pPr>
      <w:tabs>
        <w:tab w:val="left" w:pos="360" w:leader="none"/>
        <w:tab w:val="left" w:pos="720" w:leader="none"/>
        <w:tab w:val="right" w:pos="9014" w:leader="dot"/>
      </w:tabs>
      <w:spacing w:before="0" w:after="0"/>
      <w:ind w:left="432" w:hanging="432"/>
    </w:pPr>
    <w:rPr/>
  </w:style>
  <w:style w:type="paragraph" w:styleId="Contents2">
    <w:name w:val="TOC 2"/>
    <w:basedOn w:val="Normal"/>
    <w:next w:val="Normal"/>
    <w:autoRedefine/>
    <w:uiPriority w:val="39"/>
    <w:rsid w:val="00d945d2"/>
    <w:pPr>
      <w:tabs>
        <w:tab w:val="clear" w:pos="720"/>
        <w:tab w:val="right" w:pos="9014" w:leader="dot"/>
      </w:tabs>
      <w:spacing w:before="0" w:after="0"/>
      <w:ind w:left="432" w:hanging="72"/>
    </w:pPr>
    <w:rPr/>
  </w:style>
  <w:style w:type="paragraph" w:styleId="Contents3">
    <w:name w:val="TOC 3"/>
    <w:basedOn w:val="Normal"/>
    <w:next w:val="Normal"/>
    <w:autoRedefine/>
    <w:uiPriority w:val="39"/>
    <w:rsid w:val="00d945d2"/>
    <w:pPr>
      <w:tabs>
        <w:tab w:val="clear" w:pos="720"/>
        <w:tab w:val="right" w:pos="9014" w:leader="dot"/>
      </w:tabs>
      <w:spacing w:before="0" w:after="0"/>
      <w:ind w:left="792" w:hanging="72"/>
    </w:pPr>
    <w:rPr/>
  </w:style>
  <w:style w:type="paragraph" w:styleId="Contents4">
    <w:name w:val="TOC 4"/>
    <w:basedOn w:val="Normal"/>
    <w:next w:val="Normal"/>
    <w:autoRedefine/>
    <w:semiHidden/>
    <w:rsid w:val="00367de2"/>
    <w:pPr>
      <w:ind w:left="660" w:hanging="0"/>
    </w:pPr>
    <w:rPr/>
  </w:style>
  <w:style w:type="paragraph" w:styleId="Contents5">
    <w:name w:val="TOC 5"/>
    <w:basedOn w:val="Normal"/>
    <w:next w:val="Normal"/>
    <w:autoRedefine/>
    <w:semiHidden/>
    <w:rsid w:val="00367de2"/>
    <w:pPr>
      <w:ind w:left="880" w:hanging="0"/>
    </w:pPr>
    <w:rPr/>
  </w:style>
  <w:style w:type="paragraph" w:styleId="Footnote">
    <w:name w:val="Footnote Text"/>
    <w:basedOn w:val="Normal"/>
    <w:link w:val="FootnoteTextChar"/>
    <w:uiPriority w:val="1"/>
    <w:qFormat/>
    <w:rsid w:val="00bc54b7"/>
    <w:pPr>
      <w:spacing w:lineRule="auto" w:line="240" w:before="0" w:after="0"/>
    </w:pPr>
    <w:rPr>
      <w:sz w:val="18"/>
      <w:szCs w:val="20"/>
    </w:rPr>
  </w:style>
  <w:style w:type="paragraph" w:styleId="TextBodyIndent">
    <w:name w:val="Body Text Indent"/>
    <w:basedOn w:val="Normal"/>
    <w:link w:val="BodyTextIndentChar"/>
    <w:semiHidden/>
    <w:rsid w:val="00367de2"/>
    <w:pPr>
      <w:spacing w:before="0" w:after="120"/>
      <w:ind w:left="283" w:hanging="0"/>
    </w:pPr>
    <w:rPr/>
  </w:style>
  <w:style w:type="paragraph" w:styleId="BodyText2">
    <w:name w:val="Body Text 2"/>
    <w:basedOn w:val="Normal"/>
    <w:link w:val="BodyText2Char"/>
    <w:semiHidden/>
    <w:qFormat/>
    <w:rsid w:val="00784402"/>
    <w:pPr>
      <w:numPr>
        <w:ilvl w:val="0"/>
        <w:numId w:val="5"/>
      </w:numPr>
      <w:spacing w:lineRule="auto" w:line="480" w:before="0" w:after="480"/>
      <w:ind w:hanging="720"/>
    </w:pPr>
    <w:rPr/>
  </w:style>
  <w:style w:type="paragraph" w:styleId="HTMLPreformatted">
    <w:name w:val="HTML Preformatted"/>
    <w:basedOn w:val="Normal"/>
    <w:link w:val="HTMLPreformattedChar"/>
    <w:semiHidden/>
    <w:qFormat/>
    <w:rsid w:val="00367de2"/>
    <w:pPr/>
    <w:rPr>
      <w:rFonts w:ascii="Courier New" w:hAnsi="Courier New" w:cs="Courier New"/>
      <w:sz w:val="20"/>
      <w:szCs w:val="20"/>
    </w:rPr>
  </w:style>
  <w:style w:type="paragraph" w:styleId="Default" w:customStyle="1">
    <w:name w:val="Default"/>
    <w:qFormat/>
    <w:rsid w:val="00f064c7"/>
    <w:pPr>
      <w:widowControl/>
      <w:suppressAutoHyphens w:val="true"/>
      <w:bidi w:val="0"/>
      <w:spacing w:lineRule="auto" w:line="288" w:before="0" w:after="0"/>
      <w:jc w:val="left"/>
    </w:pPr>
    <w:rPr>
      <w:rFonts w:ascii="Arial" w:hAnsi="Arial" w:eastAsia="Times New Roman" w:cs="Arial"/>
      <w:color w:val="000000"/>
      <w:kern w:val="0"/>
      <w:sz w:val="24"/>
      <w:szCs w:val="24"/>
      <w:lang w:val="en-GB" w:eastAsia="en-GB" w:bidi="ar-SA"/>
    </w:rPr>
  </w:style>
  <w:style w:type="paragraph" w:styleId="StyleLeftLinespacingDouble" w:customStyle="1">
    <w:name w:val="Style Left Line spacing:  Double"/>
    <w:basedOn w:val="Normal"/>
    <w:semiHidden/>
    <w:qFormat/>
    <w:rsid w:val="0003368d"/>
    <w:pPr>
      <w:spacing w:lineRule="auto" w:line="480" w:before="0" w:after="480"/>
    </w:pPr>
    <w:rPr>
      <w:rFonts w:cs="Times New Roman"/>
    </w:rPr>
  </w:style>
  <w:style w:type="paragraph" w:styleId="Section3rdSubheading" w:customStyle="1">
    <w:name w:val="Section 3rd Subheading"/>
    <w:next w:val="Normal"/>
    <w:semiHidden/>
    <w:qFormat/>
    <w:rsid w:val="0003368d"/>
    <w:pPr>
      <w:keepNext w:val="true"/>
      <w:keepLines/>
      <w:widowControl/>
      <w:numPr>
        <w:ilvl w:val="0"/>
        <w:numId w:val="3"/>
      </w:numPr>
      <w:suppressAutoHyphens w:val="true"/>
      <w:bidi w:val="0"/>
      <w:spacing w:before="0" w:after="0"/>
      <w:jc w:val="left"/>
    </w:pPr>
    <w:rPr>
      <w:rFonts w:ascii="Times New Roman" w:hAnsi="Times New Roman" w:eastAsia="Times New Roman" w:cs="Times New Roman"/>
      <w:color w:val="000000"/>
      <w:kern w:val="0"/>
      <w:sz w:val="24"/>
      <w:szCs w:val="24"/>
      <w:u w:val="single"/>
      <w:lang w:val="en-GB" w:eastAsia="en-US" w:bidi="ar-SA"/>
    </w:rPr>
  </w:style>
  <w:style w:type="paragraph" w:styleId="SectionNumber" w:customStyle="1">
    <w:name w:val="Section Number"/>
    <w:next w:val="Normal"/>
    <w:semiHidden/>
    <w:qFormat/>
    <w:rsid w:val="0003368d"/>
    <w:pPr>
      <w:pageBreakBefore/>
      <w:widowControl/>
      <w:numPr>
        <w:ilvl w:val="0"/>
        <w:numId w:val="3"/>
      </w:numPr>
      <w:suppressAutoHyphens w:val="true"/>
      <w:bidi w:val="0"/>
      <w:spacing w:before="0" w:after="0"/>
      <w:jc w:val="left"/>
    </w:pPr>
    <w:rPr>
      <w:rFonts w:ascii="Times New Roman" w:hAnsi="Times New Roman" w:eastAsia="Times New Roman" w:cs="Times New Roman"/>
      <w:b/>
      <w:color w:val="CC0033"/>
      <w:kern w:val="0"/>
      <w:sz w:val="24"/>
      <w:szCs w:val="48"/>
      <w:lang w:val="en-GB" w:eastAsia="en-GB" w:bidi="ar-SA"/>
    </w:rPr>
  </w:style>
  <w:style w:type="paragraph" w:styleId="AnnexNumber" w:customStyle="1">
    <w:name w:val="Annex Number"/>
    <w:next w:val="Normal"/>
    <w:semiHidden/>
    <w:qFormat/>
    <w:rsid w:val="0003368d"/>
    <w:pPr>
      <w:pageBreakBefore/>
      <w:widowControl/>
      <w:numPr>
        <w:ilvl w:val="0"/>
        <w:numId w:val="3"/>
      </w:numPr>
      <w:suppressAutoHyphens w:val="true"/>
      <w:bidi w:val="0"/>
      <w:spacing w:before="0" w:after="0"/>
      <w:jc w:val="left"/>
    </w:pPr>
    <w:rPr>
      <w:rFonts w:ascii="Times New Roman" w:hAnsi="Times New Roman" w:eastAsia="Times New Roman" w:cs="Times New Roman"/>
      <w:b/>
      <w:color w:val="CC0033"/>
      <w:kern w:val="0"/>
      <w:sz w:val="24"/>
      <w:szCs w:val="24"/>
      <w:lang w:val="en-GB" w:eastAsia="en-US" w:bidi="ar-SA"/>
    </w:rPr>
  </w:style>
  <w:style w:type="paragraph" w:styleId="AnnexLevel1" w:customStyle="1">
    <w:name w:val="Annex Level 1"/>
    <w:next w:val="Normal"/>
    <w:semiHidden/>
    <w:qFormat/>
    <w:rsid w:val="0003368d"/>
    <w:pPr>
      <w:keepNext w:val="true"/>
      <w:widowControl/>
      <w:numPr>
        <w:ilvl w:val="0"/>
        <w:numId w:val="3"/>
      </w:numPr>
      <w:suppressAutoHyphens w:val="true"/>
      <w:bidi w:val="0"/>
      <w:spacing w:before="240" w:after="0"/>
      <w:jc w:val="left"/>
    </w:pPr>
    <w:rPr>
      <w:rFonts w:ascii="Times New Roman" w:hAnsi="Times New Roman" w:eastAsia="Times New Roman" w:cs="Times New Roman"/>
      <w:color w:val="CC0033"/>
      <w:kern w:val="0"/>
      <w:sz w:val="48"/>
      <w:szCs w:val="48"/>
      <w:lang w:val="en-GB" w:eastAsia="en-GB" w:bidi="ar-SA"/>
    </w:rPr>
  </w:style>
  <w:style w:type="paragraph" w:styleId="AnnexLevel2" w:customStyle="1">
    <w:name w:val="Annex Level 2"/>
    <w:next w:val="Normal"/>
    <w:semiHidden/>
    <w:qFormat/>
    <w:rsid w:val="0003368d"/>
    <w:pPr>
      <w:keepNext w:val="true"/>
      <w:keepLines/>
      <w:widowControl/>
      <w:numPr>
        <w:ilvl w:val="0"/>
        <w:numId w:val="3"/>
      </w:numPr>
      <w:suppressAutoHyphens w:val="true"/>
      <w:bidi w:val="0"/>
      <w:spacing w:before="0" w:after="0"/>
      <w:jc w:val="left"/>
    </w:pPr>
    <w:rPr>
      <w:rFonts w:ascii="Times New Roman" w:hAnsi="Times New Roman" w:eastAsia="Times New Roman" w:cs="Times New Roman"/>
      <w:b/>
      <w:color w:val="CC0033"/>
      <w:kern w:val="0"/>
      <w:sz w:val="24"/>
      <w:szCs w:val="24"/>
      <w:lang w:val="en-GB" w:eastAsia="en-US" w:bidi="ar-SA"/>
    </w:rPr>
  </w:style>
  <w:style w:type="paragraph" w:styleId="AnnexLevel3" w:customStyle="1">
    <w:name w:val="Annex Level 3"/>
    <w:semiHidden/>
    <w:qFormat/>
    <w:rsid w:val="0003368d"/>
    <w:pPr>
      <w:widowControl/>
      <w:numPr>
        <w:ilvl w:val="0"/>
        <w:numId w:val="3"/>
      </w:numPr>
      <w:tabs>
        <w:tab w:val="clear" w:pos="720"/>
        <w:tab w:val="left" w:pos="851" w:leader="none"/>
      </w:tabs>
      <w:suppressAutoHyphens w:val="true"/>
      <w:bidi w:val="0"/>
      <w:spacing w:before="0" w:after="0"/>
      <w:jc w:val="left"/>
    </w:pPr>
    <w:rPr>
      <w:rFonts w:ascii="Times New Roman" w:hAnsi="Times New Roman" w:eastAsia="Times New Roman" w:cs="Times New Roman"/>
      <w:color w:val="000000"/>
      <w:kern w:val="0"/>
      <w:sz w:val="20"/>
      <w:szCs w:val="20"/>
      <w:lang w:val="en-GB" w:eastAsia="en-US" w:bidi="ar-SA"/>
    </w:rPr>
  </w:style>
  <w:style w:type="paragraph" w:styleId="StyleBodyText10ptLinespacingDouble" w:customStyle="1">
    <w:name w:val="Style Body Text + 10 pt Line spacing:  Double"/>
    <w:basedOn w:val="TextBody"/>
    <w:semiHidden/>
    <w:qFormat/>
    <w:rsid w:val="0003368d"/>
    <w:pPr>
      <w:spacing w:lineRule="auto" w:line="480"/>
    </w:pPr>
    <w:rPr>
      <w:rFonts w:cs="Times New Roman"/>
    </w:rPr>
  </w:style>
  <w:style w:type="paragraph" w:styleId="FPTitle" w:customStyle="1">
    <w:name w:val="FP Title"/>
    <w:basedOn w:val="Normal"/>
    <w:autoRedefine/>
    <w:semiHidden/>
    <w:qFormat/>
    <w:rsid w:val="00e74dcb"/>
    <w:pPr>
      <w:keepNext w:val="true"/>
      <w:tabs>
        <w:tab w:val="clear" w:pos="720"/>
        <w:tab w:val="left" w:pos="709" w:leader="none"/>
      </w:tabs>
      <w:suppressAutoHyphens w:val="true"/>
      <w:spacing w:lineRule="auto" w:line="240" w:before="0" w:after="360"/>
      <w:jc w:val="center"/>
    </w:pPr>
    <w:rPr>
      <w:rFonts w:eastAsia="Lucida Sans Unicode"/>
      <w:b/>
      <w:color w:val="0D0D0D"/>
      <w:kern w:val="2"/>
      <w:sz w:val="32"/>
      <w:szCs w:val="24"/>
    </w:rPr>
  </w:style>
  <w:style w:type="paragraph" w:styleId="Bullets1" w:customStyle="1">
    <w:name w:val="Bullets1"/>
    <w:basedOn w:val="TextBody"/>
    <w:uiPriority w:val="1"/>
    <w:qFormat/>
    <w:rsid w:val="00370b97"/>
    <w:pPr>
      <w:numPr>
        <w:ilvl w:val="0"/>
        <w:numId w:val="6"/>
      </w:numPr>
      <w:suppressAutoHyphens w:val="true"/>
    </w:pPr>
    <w:rPr>
      <w:rFonts w:eastAsia="Lucida Sans Unicode" w:cs="Times New Roman"/>
      <w:kern w:val="2"/>
      <w:szCs w:val="24"/>
      <w:lang w:eastAsia="en-GB" w:bidi="ar-SA"/>
    </w:rPr>
  </w:style>
  <w:style w:type="paragraph" w:styleId="Bullets2" w:customStyle="1">
    <w:name w:val="Bullets2"/>
    <w:basedOn w:val="TextBody"/>
    <w:uiPriority w:val="1"/>
    <w:qFormat/>
    <w:rsid w:val="009756cc"/>
    <w:pPr>
      <w:numPr>
        <w:ilvl w:val="0"/>
        <w:numId w:val="6"/>
      </w:numPr>
    </w:pPr>
    <w:rPr>
      <w:rFonts w:cs="Times New Roman"/>
      <w:szCs w:val="20"/>
      <w:lang w:eastAsia="en-GB" w:bidi="ar-SA"/>
    </w:rPr>
  </w:style>
  <w:style w:type="paragraph" w:styleId="Level1" w:customStyle="1">
    <w:name w:val="Level 1"/>
    <w:basedOn w:val="Normal"/>
    <w:next w:val="Normal"/>
    <w:semiHidden/>
    <w:qFormat/>
    <w:rsid w:val="0003368d"/>
    <w:pPr>
      <w:tabs>
        <w:tab w:val="left" w:pos="720" w:leader="none"/>
      </w:tabs>
      <w:spacing w:lineRule="auto" w:line="264" w:before="0" w:after="210"/>
      <w:ind w:left="720" w:hanging="720"/>
      <w:outlineLvl w:val="0"/>
    </w:pPr>
    <w:rPr>
      <w:rFonts w:cs="Times New Roman"/>
      <w:sz w:val="21"/>
      <w:szCs w:val="24"/>
      <w:lang w:eastAsia="en-US"/>
    </w:rPr>
  </w:style>
  <w:style w:type="paragraph" w:styleId="Level2" w:customStyle="1">
    <w:name w:val="Level 2"/>
    <w:basedOn w:val="Normal"/>
    <w:next w:val="Normal"/>
    <w:semiHidden/>
    <w:qFormat/>
    <w:rsid w:val="0003368d"/>
    <w:pPr>
      <w:tabs>
        <w:tab w:val="left" w:pos="720" w:leader="none"/>
      </w:tabs>
      <w:spacing w:lineRule="auto" w:line="264" w:before="0" w:after="210"/>
      <w:ind w:left="720" w:hanging="720"/>
      <w:outlineLvl w:val="1"/>
    </w:pPr>
    <w:rPr>
      <w:rFonts w:cs="Times New Roman"/>
      <w:sz w:val="21"/>
      <w:szCs w:val="24"/>
      <w:lang w:eastAsia="en-US"/>
    </w:rPr>
  </w:style>
  <w:style w:type="paragraph" w:styleId="Level3" w:customStyle="1">
    <w:name w:val="Level 3"/>
    <w:basedOn w:val="Normal"/>
    <w:next w:val="Normal"/>
    <w:semiHidden/>
    <w:qFormat/>
    <w:rsid w:val="0003368d"/>
    <w:pPr>
      <w:tabs>
        <w:tab w:val="left" w:pos="720" w:leader="none"/>
      </w:tabs>
      <w:spacing w:lineRule="auto" w:line="264" w:before="0" w:after="210"/>
      <w:ind w:left="720" w:hanging="720"/>
      <w:outlineLvl w:val="2"/>
    </w:pPr>
    <w:rPr>
      <w:rFonts w:cs="Times New Roman"/>
      <w:sz w:val="21"/>
      <w:szCs w:val="24"/>
      <w:lang w:eastAsia="en-US"/>
    </w:rPr>
  </w:style>
  <w:style w:type="paragraph" w:styleId="Level4" w:customStyle="1">
    <w:name w:val="Level 4"/>
    <w:basedOn w:val="Normal"/>
    <w:next w:val="Normal"/>
    <w:semiHidden/>
    <w:qFormat/>
    <w:rsid w:val="0003368d"/>
    <w:pPr>
      <w:tabs>
        <w:tab w:val="left" w:pos="720" w:leader="none"/>
      </w:tabs>
      <w:spacing w:lineRule="auto" w:line="264" w:before="0" w:after="210"/>
      <w:ind w:left="720" w:hanging="720"/>
      <w:outlineLvl w:val="3"/>
    </w:pPr>
    <w:rPr>
      <w:rFonts w:cs="Times New Roman"/>
      <w:sz w:val="21"/>
      <w:szCs w:val="24"/>
      <w:lang w:eastAsia="en-US"/>
    </w:rPr>
  </w:style>
  <w:style w:type="paragraph" w:styleId="Level5" w:customStyle="1">
    <w:name w:val="Level 5"/>
    <w:basedOn w:val="Normal"/>
    <w:next w:val="Normal"/>
    <w:semiHidden/>
    <w:qFormat/>
    <w:rsid w:val="0003368d"/>
    <w:pPr>
      <w:tabs>
        <w:tab w:val="clear" w:pos="720"/>
        <w:tab w:val="left" w:pos="1080" w:leader="none"/>
      </w:tabs>
      <w:spacing w:lineRule="auto" w:line="264" w:before="0" w:after="210"/>
      <w:ind w:left="1080" w:hanging="360"/>
      <w:outlineLvl w:val="4"/>
    </w:pPr>
    <w:rPr>
      <w:rFonts w:cs="Times New Roman"/>
      <w:sz w:val="21"/>
      <w:szCs w:val="24"/>
      <w:lang w:eastAsia="en-US"/>
    </w:rPr>
  </w:style>
  <w:style w:type="paragraph" w:styleId="Annexnormal" w:customStyle="1">
    <w:name w:val="Annex normal"/>
    <w:basedOn w:val="Normal"/>
    <w:semiHidden/>
    <w:qFormat/>
    <w:rsid w:val="0003368d"/>
    <w:pPr>
      <w:numPr>
        <w:ilvl w:val="0"/>
        <w:numId w:val="4"/>
      </w:numPr>
      <w:suppressAutoHyphens w:val="true"/>
      <w:spacing w:before="240" w:after="240"/>
    </w:pPr>
    <w:rPr>
      <w:rFonts w:eastAsia="Lucida Sans Unicode" w:cs="Times New Roman"/>
      <w:color w:val="0D0D0D"/>
      <w:szCs w:val="24"/>
      <w:lang w:val="en-US" w:eastAsia="en-US"/>
    </w:rPr>
  </w:style>
  <w:style w:type="paragraph" w:styleId="BulletsPara" w:customStyle="1">
    <w:name w:val="Bullets (Para)"/>
    <w:basedOn w:val="Bullets1"/>
    <w:autoRedefine/>
    <w:semiHidden/>
    <w:qFormat/>
    <w:rsid w:val="0003368d"/>
    <w:pPr>
      <w:numPr>
        <w:ilvl w:val="0"/>
        <w:numId w:val="0"/>
      </w:numPr>
    </w:pPr>
    <w:rPr/>
  </w:style>
  <w:style w:type="paragraph" w:styleId="Endnote">
    <w:name w:val="Endnote Text"/>
    <w:basedOn w:val="Normal"/>
    <w:link w:val="EndnoteTextChar"/>
    <w:semiHidden/>
    <w:rsid w:val="00367de2"/>
    <w:pPr/>
    <w:rPr>
      <w:sz w:val="20"/>
      <w:szCs w:val="20"/>
    </w:rPr>
  </w:style>
  <w:style w:type="paragraph" w:styleId="Revision">
    <w:name w:val="Revision"/>
    <w:uiPriority w:val="99"/>
    <w:semiHidden/>
    <w:qFormat/>
    <w:rsid w:val="00b73264"/>
    <w:pPr>
      <w:widowControl/>
      <w:suppressAutoHyphens w:val="true"/>
      <w:bidi w:val="0"/>
      <w:spacing w:before="0" w:after="0"/>
      <w:jc w:val="left"/>
    </w:pPr>
    <w:rPr>
      <w:rFonts w:ascii="Arial" w:hAnsi="Arial" w:eastAsia="Times New Roman" w:cs="Arial" w:eastAsiaTheme="minorHAnsi"/>
      <w:color w:val="auto"/>
      <w:kern w:val="0"/>
      <w:sz w:val="22"/>
      <w:szCs w:val="22"/>
      <w:lang w:val="en-GB" w:eastAsia="en-GB" w:bidi="ar-SA"/>
    </w:rPr>
  </w:style>
  <w:style w:type="paragraph" w:styleId="Date">
    <w:name w:val="Date"/>
    <w:basedOn w:val="Normal"/>
    <w:next w:val="Normal"/>
    <w:link w:val="DateChar"/>
    <w:semiHidden/>
    <w:qFormat/>
    <w:rsid w:val="00305fa2"/>
    <w:pPr/>
    <w:rPr/>
  </w:style>
  <w:style w:type="paragraph" w:styleId="NormalWeb">
    <w:name w:val="Normal (Web)"/>
    <w:basedOn w:val="Normal"/>
    <w:uiPriority w:val="99"/>
    <w:semiHidden/>
    <w:unhideWhenUsed/>
    <w:qFormat/>
    <w:rsid w:val="000d5d84"/>
    <w:pPr>
      <w:spacing w:lineRule="atLeast" w:line="210" w:before="0" w:after="210"/>
      <w:jc w:val="both"/>
    </w:pPr>
    <w:rPr>
      <w:rFonts w:ascii="Times New Roman" w:hAnsi="Times New Roman" w:cs="Times New Roman"/>
      <w:sz w:val="17"/>
      <w:szCs w:val="17"/>
    </w:rPr>
  </w:style>
  <w:style w:type="paragraph" w:styleId="Legtext" w:customStyle="1">
    <w:name w:val="legtext"/>
    <w:basedOn w:val="Normal"/>
    <w:qFormat/>
    <w:rsid w:val="001a6181"/>
    <w:pPr>
      <w:spacing w:lineRule="auto" w:line="240" w:beforeAutospacing="1" w:afterAutospacing="1"/>
    </w:pPr>
    <w:rPr>
      <w:rFonts w:ascii="Times New Roman" w:hAnsi="Times New Roman" w:cs="Times New Roman"/>
      <w:szCs w:val="24"/>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rsid w:val="005e18c4"/>
    <w:pPr>
      <w:jc w:val="both"/>
    </w:pPr>
    <w:rPr>
      <w:lang w:val="en-GB" w:eastAsia="en-GB" w:bidi="ar-SA"/>
      <w:sz w:val="16"/>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1">
    <w:name w:val="Table Grid1"/>
    <w:basedOn w:val="TableNormal"/>
    <w:rsid w:val="009f6790"/>
    <w:rPr>
      <w:lang w:val="en-GB" w:eastAsia="en-GB"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 Id="rId8" Type="http://schemas.openxmlformats.org/officeDocument/2006/relationships/customXml" Target="../customXml/item2.xml"/><Relationship Id="rId9" Type="http://schemas.openxmlformats.org/officeDocument/2006/relationships/customXml" Target="../customXml/item3.xml"/><Relationship Id="rId10" Type="http://schemas.openxmlformats.org/officeDocument/2006/relationships/customXml" Target="../customXml/item4.xml"/>
</Relationships>
</file>

<file path=word/theme/theme1.xml><?xml version="1.0" encoding="utf-8"?>
<a:theme xmlns:a="http://schemas.openxmlformats.org/drawingml/2006/main" name="Office Theme">
  <a:themeElements>
    <a:clrScheme name="CMA theme">
      <a:dk1>
        <a:sysClr val="windowText" lastClr="000000"/>
      </a:dk1>
      <a:lt1>
        <a:sysClr val="window" lastClr="FFFFFF"/>
      </a:lt1>
      <a:dk2>
        <a:srgbClr val="4D4E53"/>
      </a:dk2>
      <a:lt2>
        <a:srgbClr val="C7C2BC"/>
      </a:lt2>
      <a:accent1>
        <a:srgbClr val="0046AD"/>
      </a:accent1>
      <a:accent2>
        <a:srgbClr val="A0DAE8"/>
      </a:accent2>
      <a:accent3>
        <a:srgbClr val="BC34BA"/>
      </a:accent3>
      <a:accent4>
        <a:srgbClr val="0098AA"/>
      </a:accent4>
      <a:accent5>
        <a:srgbClr val="2EB135"/>
      </a:accent5>
      <a:accent6>
        <a:srgbClr val="FFC82E"/>
      </a:accent6>
      <a:hlink>
        <a:srgbClr val="0046AD"/>
      </a:hlink>
      <a:folHlink>
        <a:srgbClr val="A0DAE8"/>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MKT2 Case Document" ma:contentTypeID="0x010100FD53E57BABE280449D22EDF85FE738040019F31651E2111A4F8853AE68BBEA1590" ma:contentTypeVersion="18" ma:contentTypeDescription="Create a new document." ma:contentTypeScope="" ma:versionID="c12806a26307e67a74334372a62ae531">
  <xsd:schema xmlns:xsd="http://www.w3.org/2001/XMLSchema" xmlns:xs="http://www.w3.org/2001/XMLSchema" xmlns:p="http://schemas.microsoft.com/office/2006/metadata/properties" xmlns:ns2="c43bd957-1321-45a3-ba56-2b1c3b96748f" xmlns:ns3="d2bf7ede-5565-40ac-95a8-fc2b69504287" xmlns:ns4="1d933cdc-a35f-4ab9-bc1f-ca70f1716bcb" targetNamespace="http://schemas.microsoft.com/office/2006/metadata/properties" ma:root="true" ma:fieldsID="d0653c0129a7ebb8415904e20811b781" ns2:_="" ns3:_="" ns4:_="">
    <xsd:import namespace="c43bd957-1321-45a3-ba56-2b1c3b96748f"/>
    <xsd:import namespace="d2bf7ede-5565-40ac-95a8-fc2b69504287"/>
    <xsd:import namespace="1d933cdc-a35f-4ab9-bc1f-ca70f1716bcb"/>
    <xsd:element name="properties">
      <xsd:complexType>
        <xsd:sequence>
          <xsd:element name="documentManagement">
            <xsd:complexType>
              <xsd:all>
                <xsd:element ref="ns2:de4c11ea090e45f68c0366475009f51e" minOccurs="0"/>
                <xsd:element ref="ns3:TaxCatchAll" minOccurs="0"/>
                <xsd:element ref="ns3:TaxCatchAllLabel" minOccurs="0"/>
                <xsd:element ref="ns4:MediaServiceMetadata" minOccurs="0"/>
                <xsd:element ref="ns4:MediaServiceFastMetadata" minOccurs="0"/>
                <xsd:element ref="ns4:MediaServiceDateTaken" minOccurs="0"/>
                <xsd:element ref="ns4:MediaServiceLocation" minOccurs="0"/>
                <xsd:element ref="ns4:MediaServiceGenerationTime" minOccurs="0"/>
                <xsd:element ref="ns4:MediaServiceEventHashCode" minOccurs="0"/>
                <xsd:element ref="ns4:MediaServiceAutoTags" minOccurs="0"/>
                <xsd:element ref="ns4:MediaServiceOCR" minOccurs="0"/>
                <xsd:element ref="ns4:Note" minOccurs="0"/>
                <xsd:element ref="ns3:SharedWithUsers" minOccurs="0"/>
                <xsd:element ref="ns3:SharedWithDetail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bd957-1321-45a3-ba56-2b1c3b96748f" elementFormDefault="qualified">
    <xsd:import namespace="http://schemas.microsoft.com/office/2006/documentManagement/types"/>
    <xsd:import namespace="http://schemas.microsoft.com/office/infopath/2007/PartnerControls"/>
    <xsd:element name="de4c11ea090e45f68c0366475009f51e" ma:index="8" nillable="true" ma:taxonomy="true" ma:internalName="de4c11ea090e45f68c0366475009f51e" ma:taxonomyFieldName="MKT2CaseDocType" ma:displayName="MKT2 Case Doc Type" ma:indexed="true" ma:fieldId="{de4c11ea-090e-45f6-8c03-66475009f51e}" ma:sspId="20531efe-8bc6-4a0e-9b0d-95ad7d2fd8d5" ma:termSetId="b9002d59-76d8-430e-8084-e3b5e256eff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2bf7ede-5565-40ac-95a8-fc2b69504287"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36ff1c3b-15c7-4bc9-b428-6994e2d0f367}" ma:internalName="TaxCatchAll" ma:showField="CatchAllData" ma:web="d2bf7ede-5565-40ac-95a8-fc2b6950428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6ff1c3b-15c7-4bc9-b428-6994e2d0f367}" ma:internalName="TaxCatchAllLabel" ma:readOnly="true" ma:showField="CatchAllDataLabel" ma:web="d2bf7ede-5565-40ac-95a8-fc2b6950428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933cdc-a35f-4ab9-bc1f-ca70f1716bcb"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Note" ma:index="20" nillable="true" ma:displayName="Note" ma:description="Relevant data is in &quot;Part B Input&quot; sheet" ma:format="Dropdown" ma:internalName="Note">
      <xsd:simpleType>
        <xsd:restriction base="dms:Text">
          <xsd:maxLength value="255"/>
        </xsd:restriction>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e4c11ea090e45f68c0366475009f51e xmlns="c43bd957-1321-45a3-ba56-2b1c3b96748f">
      <Terms xmlns="http://schemas.microsoft.com/office/infopath/2007/PartnerControls"/>
    </de4c11ea090e45f68c0366475009f51e>
    <Note xmlns="1d933cdc-a35f-4ab9-bc1f-ca70f1716bcb" xsi:nil="true"/>
    <TaxCatchAll xmlns="d2bf7ede-5565-40ac-95a8-fc2b69504287"/>
  </documentManagement>
</p:properties>
</file>

<file path=customXml/itemProps1.xml><?xml version="1.0" encoding="utf-8"?>
<ds:datastoreItem xmlns:ds="http://schemas.openxmlformats.org/officeDocument/2006/customXml" ds:itemID="{1BC301C5-156D-4D2D-B737-34218BE62505}">
  <ds:schemaRefs>
    <ds:schemaRef ds:uri="http://schemas.microsoft.com/sharepoint/v3/contenttype/forms"/>
  </ds:schemaRefs>
</ds:datastoreItem>
</file>

<file path=customXml/itemProps2.xml><?xml version="1.0" encoding="utf-8"?>
<ds:datastoreItem xmlns:ds="http://schemas.openxmlformats.org/officeDocument/2006/customXml" ds:itemID="{141501A2-BD1F-4E31-953C-DAD4CC8A184D}">
  <ds:schemaRefs>
    <ds:schemaRef ds:uri="http://schemas.openxmlformats.org/officeDocument/2006/bibliography"/>
  </ds:schemaRefs>
</ds:datastoreItem>
</file>

<file path=customXml/itemProps3.xml><?xml version="1.0" encoding="utf-8"?>
<ds:datastoreItem xmlns:ds="http://schemas.openxmlformats.org/officeDocument/2006/customXml" ds:itemID="{36620628-CDBF-404E-8567-3AD4794FE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bd957-1321-45a3-ba56-2b1c3b96748f"/>
    <ds:schemaRef ds:uri="d2bf7ede-5565-40ac-95a8-fc2b69504287"/>
    <ds:schemaRef ds:uri="1d933cdc-a35f-4ab9-bc1f-ca70f1716b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59BF24-99B4-4BF8-B8CE-A1F3D44367D0}">
  <ds:schemaRefs>
    <ds:schemaRef ds:uri="1d933cdc-a35f-4ab9-bc1f-ca70f1716bcb"/>
    <ds:schemaRef ds:uri="http://purl.org/dc/elements/1.1/"/>
    <ds:schemaRef ds:uri="http://schemas.microsoft.com/office/2006/metadata/properties"/>
    <ds:schemaRef ds:uri="d2bf7ede-5565-40ac-95a8-fc2b69504287"/>
    <ds:schemaRef ds:uri="http://purl.org/dc/terms/"/>
    <ds:schemaRef ds:uri="http://schemas.openxmlformats.org/package/2006/metadata/core-properties"/>
    <ds:schemaRef ds:uri="c43bd957-1321-45a3-ba56-2b1c3b96748f"/>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6</TotalTime>
  <Application>LibreOffice/7.5.2.2$Windows_X86_64 LibreOffice_project/53bb9681a964705cf672590721dbc85eb4d0c3a2</Application>
  <AppVersion>15.0000</AppVersion>
  <Pages>2</Pages>
  <Words>593</Words>
  <Characters>3081</Characters>
  <CharactersWithSpaces>3634</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2021-06-11T11:03:00Z</dcterms:created>
  <dc:creator>Oliver Tuck</dc:creator>
  <dc:description/>
  <dc:language>en-GB</dc:language>
  <cp:lastModifiedBy/>
  <dcterms:modified xsi:type="dcterms:W3CDTF">2026-06-24T16:22:09Z</dcterms:modified>
  <cp:revision>13</cp:revision>
  <dc:subject/>
  <dc:title>Funerals MI draft Order Feb2021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0x010100FD53E57BABE280449D22EDF85FE738040019F31651E2111A4F8853AE68BBEA1590</vt:lpwstr>
  </property>
  <property fmtid="{D5CDD505-2E9C-101B-9397-08002B2CF9AE}" pid="3" name="HyperlinksChanged">
    <vt:bool>0</vt:bool>
  </property>
  <property fmtid="{D5CDD505-2E9C-101B-9397-08002B2CF9AE}" pid="4" name="LinksUpToDate">
    <vt:bool>0</vt:bool>
  </property>
  <property fmtid="{D5CDD505-2E9C-101B-9397-08002B2CF9AE}" pid="5" name="MKT2CaseDocType">
    <vt:lpwstr/>
  </property>
  <property fmtid="{D5CDD505-2E9C-101B-9397-08002B2CF9AE}" pid="6" name="Order">
    <vt:i4>5282100</vt:i4>
  </property>
  <property fmtid="{D5CDD505-2E9C-101B-9397-08002B2CF9AE}" pid="7" name="ScaleCrop">
    <vt:bool>0</vt:bool>
  </property>
  <property fmtid="{D5CDD505-2E9C-101B-9397-08002B2CF9AE}" pid="8" name="ShareDoc">
    <vt:bool>0</vt:bool>
  </property>
</Properties>
</file>